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Obchod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R1 s.r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o. &lt;</w:t>
      </w:r>
      <w:hyperlink r:id="rId11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obc</w:t>
        </w:r>
        <w:r>
          <w:rPr lang="cs-CZ" sz="22" baseline="0" dirty="0">
            <w:jc w:val="left"/>
            <w:rFonts w:ascii="Calibri" w:hAnsi="Calibri" w:cs="Calibri"/>
            <w:color w:val="000000"/>
            <w:spacing w:val="-3"/>
            <w:sz w:val="22"/>
            <w:szCs w:val="22"/>
          </w:rPr>
          <w:t>h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od@akr1.cz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&gt;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středa 21.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května 2025 9:20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1252791" cy="14020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2791" cy="140209"/>
                    </a:xfrm>
                    <a:custGeom>
                      <a:rect l="l" t="t" r="r" b="b"/>
                      <a:pathLst>
                        <a:path w="1252791" h="140209">
                          <a:moveTo>
                            <a:pt x="0" y="140209"/>
                          </a:moveTo>
                          <a:lnTo>
                            <a:pt x="1252791" y="140209"/>
                          </a:lnTo>
                          <a:lnTo>
                            <a:pt x="1252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2025/OBJ/26 na nákup 1 ks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 multifunkčního bar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vného 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oje,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329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 JBC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Přílohy: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k 21.5.2025.pdf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den,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109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akceptuje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objednávku č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slo 2025/OB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/26 na nákup 1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A3 multifunkčního ba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evné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včet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příslušenství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 výši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150 631,69 Kč s DPH.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Děku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eme a p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ejeme hezký den.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pozdravem,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53" w:after="0" w:line="240" w:lineRule="exact"/>
        <w:ind w:left="389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T:</w:t>
      </w:r>
      <w:r>
        <w:rPr lang="cs-CZ" sz="24" baseline="0" dirty="0">
          <w:jc w:val="left"/>
          <w:rFonts w:ascii="Calibri" w:hAnsi="Calibri" w:cs="Calibri"/>
          <w:color w:val="3C3C3B"/>
          <w:sz w:val="24"/>
          <w:szCs w:val="24"/>
        </w:rPr>
        <w:t> +420 725 497 755</w:t>
      </w:r>
      <w:r>
        <w:rPr lang="cs-CZ" sz="24" baseline="0" dirty="0">
          <w:jc w:val="left"/>
          <w:rFonts w:ascii="Calibri" w:hAnsi="Calibri" w:cs="Calibri"/>
          <w:color w:val="3C3C3B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6386"/>
        </w:tabs>
        <w:spacing w:before="60" w:after="0" w:line="240" w:lineRule="exact"/>
        <w:ind w:left="3897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2727070</wp:posOffset>
            </wp:positionH>
            <wp:positionV relativeFrom="line">
              <wp:posOffset>-187452</wp:posOffset>
            </wp:positionV>
            <wp:extent cx="18288" cy="142341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423416"/>
                    </a:xfrm>
                    <a:custGeom>
                      <a:rect l="l" t="t" r="r" b="b"/>
                      <a:pathLst>
                        <a:path w="18288" h="1423416">
                          <a:moveTo>
                            <a:pt x="0" y="1423416"/>
                          </a:moveTo>
                          <a:lnTo>
                            <a:pt x="18288" y="142341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423416"/>
                          </a:lnTo>
                          <a:close/>
                        </a:path>
                      </a:pathLst>
                    </a:custGeom>
                    <a:solidFill>
                      <a:srgbClr val="008DD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6469379</wp:posOffset>
            </wp:positionH>
            <wp:positionV relativeFrom="line">
              <wp:posOffset>-187832</wp:posOffset>
            </wp:positionV>
            <wp:extent cx="1209675" cy="120967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968044</wp:posOffset>
            </wp:positionH>
            <wp:positionV relativeFrom="line">
              <wp:posOffset>38100</wp:posOffset>
            </wp:positionV>
            <wp:extent cx="907796" cy="1524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7796" cy="152400"/>
                    </a:xfrm>
                    <a:custGeom>
                      <a:rect l="l" t="t" r="r" b="b"/>
                      <a:pathLst>
                        <a:path w="907796" h="152400">
                          <a:moveTo>
                            <a:pt x="0" y="152400"/>
                          </a:moveTo>
                          <a:lnTo>
                            <a:pt x="907796" y="152400"/>
                          </a:lnTo>
                          <a:lnTo>
                            <a:pt x="9077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2957195</wp:posOffset>
            </wp:positionH>
            <wp:positionV relativeFrom="line">
              <wp:posOffset>38100</wp:posOffset>
            </wp:positionV>
            <wp:extent cx="1426464" cy="1524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6464" cy="152400"/>
                    </a:xfrm>
                    <a:custGeom>
                      <a:rect l="l" t="t" r="r" b="b"/>
                      <a:pathLst>
                        <a:path w="1426464" h="152400">
                          <a:moveTo>
                            <a:pt x="0" y="152400"/>
                          </a:moveTo>
                          <a:lnTo>
                            <a:pt x="1426464" y="152400"/>
                          </a:lnTo>
                          <a:lnTo>
                            <a:pt x="14264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4370959</wp:posOffset>
            </wp:positionH>
            <wp:positionV relativeFrom="line">
              <wp:posOffset>156464</wp:posOffset>
            </wp:positionV>
            <wp:extent cx="27177" cy="36067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77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E: 	</w:t>
      </w:r>
      <w:r>
        <w:rPr lang="cs-CZ" sz="24" baseline="0" dirty="0">
          <w:jc w:val="left"/>
          <w:rFonts w:ascii="Calibri" w:hAnsi="Calibri" w:cs="Calibri"/>
          <w:color w:val="3C3C3B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0" w:after="0" w:line="240" w:lineRule="exact"/>
        <w:ind w:left="1004" w:right="0" w:firstLine="0"/>
      </w:pPr>
      <w:r/>
      <w:r>
        <w:rPr lang="cs-CZ" sz="20" baseline="0" dirty="0">
          <w:jc w:val="left"/>
          <w:rFonts w:ascii="Calibri" w:hAnsi="Calibri" w:cs="Calibri"/>
          <w:color w:val="1793D2"/>
          <w:sz w:val="20"/>
          <w:szCs w:val="20"/>
        </w:rPr>
        <w:t>Vedoucí obchodního oddělení</w:t>
      </w:r>
      <w:r>
        <w:rPr lang="cs-CZ" sz="24" baseline="0" dirty="0">
          <w:jc w:val="left"/>
          <w:rFonts w:ascii="Calibri" w:hAnsi="Calibri" w:cs="Calibri"/>
          <w:color w:val="3C3C3B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240" w:lineRule="exact"/>
        <w:ind w:left="0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AKR1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.r.o.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|</w:t>
      </w:r>
      <w:hyperlink r:id="rId100" w:history="1">
        <w:r>
          <w:rPr lang="cs-CZ" sz="24" baseline="0" dirty="0">
            <w:jc w:val="left"/>
            <w:rFonts w:ascii="Calibri" w:hAnsi="Calibri" w:cs="Calibri"/>
            <w:b/>
            <w:bCs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Calibri" w:hAnsi="Calibri" w:cs="Calibri"/>
            <w:u w:val="single"/>
            <w:color w:val="0563C1"/>
            <w:sz w:val="24"/>
            <w:szCs w:val="24"/>
          </w:rPr>
          <w:t>www.akr1.cz</w:t>
        </w:r>
        <w:r>
          <w:rPr lang="cs-CZ" sz="24" baseline="0" dirty="0">
            <w:jc w:val="left"/>
            <w:rFonts w:ascii="Calibri" w:hAnsi="Calibri" w:cs="Calibri"/>
            <w:u w:val="single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|</w:t>
      </w:r>
      <w:hyperlink r:id="rId101" w:history="1"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Calibri" w:hAnsi="Calibri" w:cs="Calibri"/>
            <w:u w:val="single"/>
            <w:color w:val="000000"/>
            <w:sz w:val="24"/>
            <w:szCs w:val="24"/>
          </w:rPr>
          <w:t>e</w:t>
        </w:r>
        <w:r>
          <w:rPr lang="cs-CZ" sz="24" baseline="0" dirty="0">
            <w:jc w:val="left"/>
            <w:rFonts w:ascii="Calibri" w:hAnsi="Calibri" w:cs="Calibri"/>
            <w:u w:val="single"/>
            <w:color w:val="000000"/>
            <w:spacing w:val="-3"/>
            <w:sz w:val="24"/>
            <w:szCs w:val="24"/>
          </w:rPr>
          <w:t>s</w:t>
        </w:r>
        <w:r>
          <w:rPr lang="cs-CZ" sz="24" baseline="0" dirty="0">
            <w:jc w:val="left"/>
            <w:rFonts w:ascii="Calibri" w:hAnsi="Calibri" w:cs="Calibri"/>
            <w:u w:val="single"/>
            <w:color w:val="000000"/>
            <w:sz w:val="24"/>
            <w:szCs w:val="24"/>
          </w:rPr>
          <w:t>hop.akr1.cz</w:t>
        </w:r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10" w:after="0" w:line="254" w:lineRule="exact"/>
        <w:ind w:left="0" w:right="-40" w:firstLine="0"/>
      </w:pPr>
      <w:r/>
      <w:hyperlink r:id="rId102" w:history="1"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TISKOVÉ ŘEŠENÍ</w:t>
        </w:r>
        <w:r>
          <w:rPr lang="cs-CZ" sz="24" baseline="0" dirty="0">
            <w:jc w:val="left"/>
            <w:rFonts w:ascii="Calibri" w:hAnsi="Calibri" w:cs="Calibri"/>
            <w:color w:val="FE6600"/>
            <w:sz w:val="24"/>
            <w:szCs w:val="24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3" w:history="1">
        <w:r>
          <w:rPr lang="cs-CZ" sz="24" baseline="0" dirty="0">
            <w:jc w:val="left"/>
            <w:rFonts w:ascii="Calibri" w:hAnsi="Calibri" w:cs="Calibri"/>
            <w:color w:val="FE6600"/>
            <w:sz w:val="24"/>
            <w:szCs w:val="24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IT VYBAVENÍ</w:t>
        </w:r>
        <w:r>
          <w:rPr lang="cs-CZ" sz="24" baseline="0" dirty="0">
            <w:jc w:val="left"/>
            <w:rFonts w:ascii="Calibri" w:hAnsi="Calibri" w:cs="Calibri"/>
            <w:color w:val="FE6600"/>
            <w:sz w:val="24"/>
            <w:szCs w:val="24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hyperlink r:id="rId104" w:history="1">
        <w:r>
          <w:rPr lang="cs-CZ" sz="20" baseline="0" dirty="0">
            <w:jc w:val="left"/>
            <w:rFonts w:ascii="Calibri" w:hAnsi="Calibri" w:cs="Calibri"/>
            <w:color w:val="3C3C3B"/>
            <w:sz w:val="20"/>
            <w:szCs w:val="20"/>
          </w:rPr>
          <w:t> </w:t>
        </w:r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KYBERNETICKÁ BEZPEČNOST</w:t>
        </w:r>
        <w:r>
          <w:rPr lang="cs-CZ" sz="24" baseline="0" dirty="0">
            <w:jc w:val="left"/>
            <w:rFonts w:ascii="Calibri" w:hAnsi="Calibri" w:cs="Calibri"/>
            <w:color w:val="FE6600"/>
            <w:sz w:val="24"/>
            <w:szCs w:val="24"/>
          </w:rPr>
          <w:t> </w:t>
        </w:r>
      </w:hyperlink>
      <w:r>
        <w:rPr lang="cs-CZ" sz="20" baseline="0" dirty="0">
          <w:jc w:val="left"/>
          <w:rFonts w:ascii="Calibri" w:hAnsi="Calibri" w:cs="Calibri"/>
          <w:color w:val="3C3C3B"/>
          <w:sz w:val="20"/>
          <w:szCs w:val="20"/>
        </w:rPr>
        <w:t>|  </w:t>
      </w:r>
      <w:r>
        <w:drawing>
          <wp:anchor simplePos="0" relativeHeight="251658460" behindDoc="0" locked="0" layoutInCell="1" allowOverlap="1">
            <wp:simplePos x="0" y="0"/>
            <wp:positionH relativeFrom="page">
              <wp:posOffset>968375</wp:posOffset>
            </wp:positionH>
            <wp:positionV relativeFrom="line">
              <wp:posOffset>-1143</wp:posOffset>
            </wp:positionV>
            <wp:extent cx="1543050" cy="409575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30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05" w:history="1">
        <w:r>
          <w:rPr lang="cs-CZ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EKOLOGICKÁ LIKVIDACE</w:t>
        </w:r>
        <w:r>
          <w:rPr lang="cs-CZ" sz="24" baseline="0" dirty="0">
            <w:jc w:val="left"/>
            <w:rFonts w:ascii="Calibri" w:hAnsi="Calibri" w:cs="Calibri"/>
            <w:b/>
            <w:bCs/>
            <w:color w:val="FE6600"/>
            <w:sz w:val="24"/>
            <w:szCs w:val="24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0" w:right="0" w:firstLine="0"/>
      </w:pPr>
      <w:r/>
      <w:hyperlink r:id="rId106" w:history="1">
        <w:r>
          <w:rPr lang="cs-CZ" sz="24" baseline="0" dirty="0">
            <w:jc w:val="left"/>
            <w:rFonts w:ascii="Calibri" w:hAnsi="Calibri" w:cs="Calibri"/>
            <w:b/>
            <w:bCs/>
            <w:u w:val="single"/>
            <w:color w:val="FE6600"/>
            <w:sz w:val="24"/>
            <w:szCs w:val="24"/>
          </w:rPr>
          <w:t>Proč se stát naším zákazníkem?</w:t>
        </w:r>
        <w:r>
          <w:rPr lang="cs-CZ" sz="24" baseline="0" dirty="0">
            <w:jc w:val="left"/>
            <w:rFonts w:ascii="Calibri" w:hAnsi="Calibri" w:cs="Calibri"/>
            <w:b/>
            <w:bCs/>
            <w:color w:val="FE6600"/>
            <w:sz w:val="24"/>
            <w:szCs w:val="24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3552" w:space="364"/>
            <w:col w:w="5270" w:space="0"/>
          </w:cols>
          <w:docGrid w:linePitch="360"/>
        </w:sectPr>
        <w:tabs>
          <w:tab w:val="left" w:pos="1773"/>
          <w:tab w:val="left" w:pos="2246"/>
          <w:tab w:val="left" w:pos="2902"/>
        </w:tabs>
        <w:spacing w:before="240" w:after="0" w:line="240" w:lineRule="exact"/>
        <w:ind w:left="0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3663188</wp:posOffset>
            </wp:positionH>
            <wp:positionV relativeFrom="line">
              <wp:posOffset>0</wp:posOffset>
            </wp:positionV>
            <wp:extent cx="266700" cy="266700"/>
            <wp:effectExtent l="0" t="0" r="0" b="0"/>
            <wp:wrapNone/>
            <wp:docPr id="118" name="Picture 118">
              <a:hlinkClick r:id="rId10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3964304</wp:posOffset>
            </wp:positionH>
            <wp:positionV relativeFrom="line">
              <wp:posOffset>0</wp:posOffset>
            </wp:positionV>
            <wp:extent cx="257175" cy="257175"/>
            <wp:effectExtent l="0" t="0" r="0" b="0"/>
            <wp:wrapNone/>
            <wp:docPr id="119" name="Picture 119">
              <a:hlinkClick r:id="rId108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4265548</wp:posOffset>
            </wp:positionH>
            <wp:positionV relativeFrom="line">
              <wp:posOffset>0</wp:posOffset>
            </wp:positionV>
            <wp:extent cx="381000" cy="257175"/>
            <wp:effectExtent l="0" t="0" r="0" b="0"/>
            <wp:wrapNone/>
            <wp:docPr id="120" name="Picture 120">
              <a:hlinkClick r:id="rId10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Sledujte nás na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FE6600"/>
          <w:sz w:val="24"/>
          <w:szCs w:val="24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akr1.cz/"/><Relationship Id="rId101" Type="http://schemas.openxmlformats.org/officeDocument/2006/relationships/hyperlink" TargetMode="External" Target="https://eshop.akr1.cz/"/><Relationship Id="rId102" Type="http://schemas.openxmlformats.org/officeDocument/2006/relationships/hyperlink" TargetMode="External" Target="https://www.akr1.cz/tiskove-reseni/"/><Relationship Id="rId103" Type="http://schemas.openxmlformats.org/officeDocument/2006/relationships/hyperlink" TargetMode="External" Target="https://www.akr1.cz/it-vybaveni/"/><Relationship Id="rId104" Type="http://schemas.openxmlformats.org/officeDocument/2006/relationships/hyperlink" TargetMode="External" Target="https://www.akr1.cz/kyberneticka-bezpecnost/"/><Relationship Id="rId105" Type="http://schemas.openxmlformats.org/officeDocument/2006/relationships/hyperlink" TargetMode="External" Target="https://www.akr1.cz/ekologicka-likvidace/"/><Relationship Id="rId106" Type="http://schemas.openxmlformats.org/officeDocument/2006/relationships/hyperlink" TargetMode="External" Target="https://www.akr1.cz/proc-se-stat-nasim-zakaznikem/"/><Relationship Id="rId107" Type="http://schemas.openxmlformats.org/officeDocument/2006/relationships/hyperlink" TargetMode="External" Target="https://www.linkedin.com/company/akr1"/><Relationship Id="rId108" Type="http://schemas.openxmlformats.org/officeDocument/2006/relationships/hyperlink" TargetMode="External" Target="https://www.facebook.com/akr1company/"/><Relationship Id="rId109" Type="http://schemas.openxmlformats.org/officeDocument/2006/relationships/hyperlink" TargetMode="External" Target="https://www.akr1.cz/blog/"/><Relationship Id="rId110" Type="http://schemas.openxmlformats.org/officeDocument/2006/relationships/hyperlink" TargetMode="External" Target="mailto:obchod@akr1.cz"/><Relationship Id="rId113" Type="http://schemas.openxmlformats.org/officeDocument/2006/relationships/image" Target="media/image113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2025-05-21T08:14:09Z</dcterms:created>
  <dcterms:modified xsi:type="dcterms:W3CDTF">2025-05-21T08:14:09Z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