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3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930/2023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47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 v Ústí nad Labem v oddílu A, vložka č. 13052 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06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Václav Jílek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74676547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na odboru obecního živnostenského úřadu městského úřadu Tachov, č.j. 870/2014- ŽO/TC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plátce DPH. 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930/2023 uzavřené mezi smluvními stranami dne 7.8.2023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92"/>
        <w:gridCol w:w="1066"/>
        <w:gridCol w:w="1080"/>
        <w:gridCol w:w="1152"/>
        <w:gridCol w:w="1253"/>
        <w:gridCol w:w="835"/>
        <w:gridCol w:w="950"/>
        <w:gridCol w:w="1344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82 523,84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6 876,99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6 876,99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20 868,40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1 739,03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208,68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1 947,71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61 880,00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5 156,67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1 082,90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6 239,57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pronájem nábytku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242,00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173,25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998,25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177 572,24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14 797,69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1 506,83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16 304,52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16 304,52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smlouvy č. 930/2023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3930015</wp:posOffset>
                </wp:positionH>
                <wp:positionV relativeFrom="paragraph">
                  <wp:posOffset>12700</wp:posOffset>
                </wp:positionV>
                <wp:extent cx="1758950" cy="21018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89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9.44999999999999pt;margin-top:1.pt;width:138.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nájemce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008" w:left="1015" w:right="1192" w:bottom="1288" w:header="58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10070465</wp:posOffset>
              </wp:positionV>
              <wp:extent cx="64135" cy="1708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1.25pt;margin-top:792.95000000000005pt;width:5.04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