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1240600070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Zbiroh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212"/>
        <w:jc w:val="left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Zbiroh,</w:t>
      </w:r>
      <w:r>
        <w:rPr>
          <w:spacing w:val="-5"/>
        </w:rPr>
        <w:t> </w:t>
      </w:r>
      <w:r>
        <w:rPr/>
        <w:t>Masarykovo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112,</w:t>
      </w:r>
      <w:r>
        <w:rPr>
          <w:spacing w:val="-6"/>
        </w:rPr>
        <w:t> </w:t>
      </w:r>
      <w:r>
        <w:rPr/>
        <w:t>338</w:t>
      </w:r>
      <w:r>
        <w:rPr>
          <w:spacing w:val="-2"/>
        </w:rPr>
        <w:t> </w:t>
      </w:r>
      <w:r>
        <w:rPr/>
        <w:t>08</w:t>
      </w:r>
      <w:r>
        <w:rPr>
          <w:spacing w:val="-6"/>
        </w:rPr>
        <w:t> </w:t>
      </w:r>
      <w:r>
        <w:rPr/>
        <w:t>Zbiroh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00259225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Josefem</w:t>
      </w:r>
      <w:r>
        <w:rPr>
          <w:spacing w:val="-4"/>
        </w:rPr>
        <w:t> </w:t>
      </w:r>
      <w:r>
        <w:rPr/>
        <w:t>Š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í</w:t>
      </w:r>
      <w:r>
        <w:rPr>
          <w:spacing w:val="-1"/>
        </w:rPr>
        <w:t> </w:t>
      </w:r>
      <w:r>
        <w:rPr/>
        <w:t>ch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4"/>
        </w:rPr>
        <w:t> </w:t>
      </w:r>
      <w:r>
        <w:rPr/>
        <w:t>MBA,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94-5915381/0710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1240600070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31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248"/>
        <w:jc w:val="both"/>
      </w:pPr>
      <w:r>
        <w:rPr/>
        <w:t>„Zbiroh,</w:t>
      </w:r>
      <w:r>
        <w:rPr>
          <w:spacing w:val="-7"/>
        </w:rPr>
        <w:t> </w:t>
      </w:r>
      <w:r>
        <w:rPr/>
        <w:t>Švabín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vodovod-I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II</w:t>
      </w:r>
      <w:r>
        <w:rPr>
          <w:spacing w:val="-7"/>
        </w:rPr>
        <w:t> </w:t>
      </w:r>
      <w:r>
        <w:rPr>
          <w:spacing w:val="-2"/>
        </w:rPr>
        <w:t>etapa“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b/>
          <w:sz w:val="20"/>
        </w:rPr>
        <w:t>14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242,85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> </w:t>
      </w:r>
      <w:r>
        <w:rPr>
          <w:sz w:val="20"/>
        </w:rPr>
        <w:t>(slovy:</w:t>
      </w:r>
      <w:r>
        <w:rPr>
          <w:spacing w:val="-2"/>
          <w:sz w:val="20"/>
        </w:rPr>
        <w:t> </w:t>
      </w:r>
      <w:r>
        <w:rPr>
          <w:sz w:val="20"/>
        </w:rPr>
        <w:t>čtrnáct</w:t>
      </w:r>
      <w:r>
        <w:rPr>
          <w:spacing w:val="-3"/>
          <w:sz w:val="20"/>
        </w:rPr>
        <w:t> </w:t>
      </w:r>
      <w:r>
        <w:rPr>
          <w:sz w:val="20"/>
        </w:rPr>
        <w:t>milionů</w:t>
      </w:r>
      <w:r>
        <w:rPr>
          <w:spacing w:val="-2"/>
          <w:sz w:val="20"/>
        </w:rPr>
        <w:t> </w:t>
      </w:r>
      <w:r>
        <w:rPr>
          <w:sz w:val="20"/>
        </w:rPr>
        <w:t>dvě</w:t>
      </w:r>
      <w:r>
        <w:rPr>
          <w:spacing w:val="-3"/>
          <w:sz w:val="20"/>
        </w:rPr>
        <w:t> </w:t>
      </w:r>
      <w:r>
        <w:rPr>
          <w:sz w:val="20"/>
        </w:rPr>
        <w:t>stě</w:t>
      </w:r>
      <w:r>
        <w:rPr>
          <w:spacing w:val="-3"/>
          <w:sz w:val="20"/>
        </w:rPr>
        <w:t> </w:t>
      </w:r>
      <w:r>
        <w:rPr>
          <w:sz w:val="20"/>
        </w:rPr>
        <w:t>patnáct</w:t>
      </w:r>
      <w:r>
        <w:rPr>
          <w:spacing w:val="-3"/>
          <w:sz w:val="20"/>
        </w:rPr>
        <w:t> </w:t>
      </w:r>
      <w:r>
        <w:rPr>
          <w:sz w:val="20"/>
        </w:rPr>
        <w:t>tisíc</w:t>
      </w:r>
      <w:r>
        <w:rPr>
          <w:spacing w:val="-3"/>
          <w:sz w:val="20"/>
        </w:rPr>
        <w:t> </w:t>
      </w:r>
      <w:r>
        <w:rPr>
          <w:sz w:val="20"/>
        </w:rPr>
        <w:t>dvě</w:t>
      </w:r>
      <w:r>
        <w:rPr>
          <w:spacing w:val="-3"/>
          <w:sz w:val="20"/>
        </w:rPr>
        <w:t> </w:t>
      </w:r>
      <w:r>
        <w:rPr>
          <w:sz w:val="20"/>
        </w:rPr>
        <w:t>stě</w:t>
      </w:r>
      <w:r>
        <w:rPr>
          <w:spacing w:val="-4"/>
          <w:sz w:val="20"/>
        </w:rPr>
        <w:t> </w:t>
      </w:r>
      <w:r>
        <w:rPr>
          <w:sz w:val="20"/>
        </w:rPr>
        <w:t>čtyřicet</w:t>
      </w:r>
      <w:r>
        <w:rPr>
          <w:spacing w:val="-3"/>
          <w:sz w:val="20"/>
        </w:rPr>
        <w:t> </w:t>
      </w:r>
      <w:r>
        <w:rPr>
          <w:sz w:val="20"/>
        </w:rPr>
        <w:t>dva korun českých, osmdesát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23 692 071,42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6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8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2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12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</w:t>
      </w:r>
      <w:r>
        <w:rPr>
          <w:spacing w:val="-2"/>
          <w:sz w:val="20"/>
        </w:rPr>
        <w:t> </w:t>
      </w:r>
      <w:r>
        <w:rPr>
          <w:sz w:val="20"/>
        </w:rPr>
        <w:t>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</w:t>
      </w:r>
      <w:r>
        <w:rPr>
          <w:spacing w:val="-4"/>
          <w:sz w:val="20"/>
        </w:rPr>
        <w:t> </w:t>
      </w:r>
      <w:r>
        <w:rPr>
          <w:sz w:val="20"/>
        </w:rPr>
        <w:t>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splní účel akce „Zbiroh, Švabín – vodovod-I a II etapa“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3,22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128 obyvatel na vodovod a128 obyvatel bude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zavazuje,</w:t>
      </w:r>
      <w:r>
        <w:rPr>
          <w:spacing w:val="20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1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z w:val="20"/>
        </w:rPr>
        <w:t>projektu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dodávaná</w:t>
      </w:r>
      <w:r>
        <w:rPr>
          <w:spacing w:val="19"/>
          <w:sz w:val="20"/>
        </w:rPr>
        <w:t> </w:t>
      </w:r>
      <w:r>
        <w:rPr>
          <w:sz w:val="20"/>
        </w:rPr>
        <w:t>pitná</w:t>
      </w:r>
      <w:r>
        <w:rPr>
          <w:spacing w:val="19"/>
          <w:sz w:val="20"/>
        </w:rPr>
        <w:t> </w:t>
      </w:r>
      <w:r>
        <w:rPr>
          <w:sz w:val="20"/>
        </w:rPr>
        <w:t>voda</w:t>
      </w:r>
      <w:r>
        <w:rPr>
          <w:spacing w:val="19"/>
          <w:sz w:val="20"/>
        </w:rPr>
        <w:t> </w:t>
      </w:r>
      <w:r>
        <w:rPr>
          <w:sz w:val="20"/>
        </w:rPr>
        <w:t>splňovat</w:t>
      </w:r>
      <w:r>
        <w:rPr>
          <w:spacing w:val="19"/>
          <w:sz w:val="20"/>
        </w:rPr>
        <w:t> </w:t>
      </w:r>
      <w:r>
        <w:rPr>
          <w:sz w:val="20"/>
        </w:rPr>
        <w:t>hygienické</w:t>
      </w:r>
      <w:r>
        <w:rPr>
          <w:spacing w:val="19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10/2026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3"/>
          <w:sz w:val="20"/>
        </w:rPr>
        <w:t> </w:t>
      </w:r>
      <w:r>
        <w:rPr>
          <w:sz w:val="20"/>
        </w:rPr>
        <w:t>řádu,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1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změně</w:t>
      </w:r>
      <w:r>
        <w:rPr>
          <w:spacing w:val="18"/>
        </w:rPr>
        <w:t> </w:t>
      </w:r>
      <w:r>
        <w:rPr/>
        <w:t>některých</w:t>
      </w:r>
      <w:r>
        <w:rPr>
          <w:spacing w:val="20"/>
        </w:rPr>
        <w:t> </w:t>
      </w:r>
      <w:r>
        <w:rPr/>
        <w:t>souvisejících</w:t>
      </w:r>
      <w:r>
        <w:rPr>
          <w:spacing w:val="20"/>
        </w:rPr>
        <w:t> </w:t>
      </w:r>
      <w:r>
        <w:rPr/>
        <w:t>zákonů</w:t>
      </w:r>
      <w:r>
        <w:rPr>
          <w:spacing w:val="22"/>
        </w:rPr>
        <w:t> </w:t>
      </w:r>
      <w:r>
        <w:rPr/>
        <w:t>(rozpočtová</w:t>
      </w:r>
      <w:r>
        <w:rPr>
          <w:spacing w:val="19"/>
        </w:rPr>
        <w:t> </w:t>
      </w:r>
      <w:r>
        <w:rPr/>
        <w:t>pravidla),</w:t>
      </w:r>
      <w:r>
        <w:rPr>
          <w:spacing w:val="25"/>
        </w:rPr>
        <w:t> </w:t>
      </w:r>
      <w:r>
        <w:rPr/>
        <w:t>v</w:t>
      </w:r>
      <w:r>
        <w:rPr>
          <w:spacing w:val="20"/>
        </w:rPr>
        <w:t> </w:t>
      </w:r>
      <w:r>
        <w:rPr/>
        <w:t>platném</w:t>
      </w:r>
      <w:r>
        <w:rPr>
          <w:spacing w:val="19"/>
        </w:rPr>
        <w:t> </w:t>
      </w:r>
      <w:r>
        <w:rPr/>
        <w:t>znění,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4/2027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3"/>
          <w:sz w:val="20"/>
        </w:rPr>
        <w:t> </w:t>
      </w:r>
      <w:r>
        <w:rPr>
          <w:sz w:val="20"/>
        </w:rPr>
        <w:t>pravidla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m)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5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4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" w:after="0"/>
        <w:ind w:left="1094" w:right="113" w:hanging="45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6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2"/>
        <w:ind w:left="1094" w:right="114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2"/>
        </w:rPr>
        <w:t> </w:t>
      </w:r>
      <w:r>
        <w:rPr/>
        <w:t>(rekonstruované)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podporou</w:t>
      </w:r>
      <w:r>
        <w:rPr>
          <w:spacing w:val="-1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19" w:after="0"/>
        <w:ind w:left="1094" w:right="117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</w:t>
      </w:r>
      <w:r>
        <w:rPr>
          <w:spacing w:val="-1"/>
          <w:sz w:val="20"/>
        </w:rPr>
        <w:t> </w:t>
      </w:r>
      <w:r>
        <w:rPr>
          <w:sz w:val="20"/>
        </w:rPr>
        <w:t>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3" w:hanging="560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</w:t>
      </w:r>
      <w:r>
        <w:rPr>
          <w:spacing w:val="-1"/>
          <w:sz w:val="20"/>
        </w:rPr>
        <w:t> </w:t>
      </w:r>
      <w:r>
        <w:rPr>
          <w:sz w:val="20"/>
        </w:rPr>
        <w:t>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3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80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7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09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2025-05-15T12:04:08Z</dcterms:created>
  <dcterms:modified xsi:type="dcterms:W3CDTF">2025-05-15T12:04:08Z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</Properties>
</file>