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single" w:sz="16" w:space="0" w:color="515151"/>
          <w:left w:val="single" w:sz="16" w:space="0" w:color="515151"/>
          <w:bottom w:val="single" w:sz="16" w:space="0" w:color="515151"/>
          <w:right w:val="single" w:sz="16" w:space="0" w:color="515151"/>
          <w:insideH w:val="single" w:sz="16" w:space="0" w:color="515151"/>
          <w:insideV w:val="single" w:sz="16" w:space="0" w:color="51515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4311"/>
        <w:gridCol w:w="600"/>
        <w:gridCol w:w="580"/>
        <w:gridCol w:w="421"/>
        <w:gridCol w:w="959"/>
        <w:gridCol w:w="1750"/>
        <w:gridCol w:w="687"/>
      </w:tblGrid>
      <w:tr>
        <w:trPr>
          <w:trHeight w:val="551" w:hRule="exact"/>
        </w:trPr>
        <w:tc>
          <w:tcPr>
            <w:tcW w:w="9919" w:type="dxa"/>
            <w:gridSpan w:val="8"/>
            <w:shd w:val="clear" w:color="auto" w:fill="F8BA00"/>
          </w:tcPr>
          <w:p>
            <w:pPr>
              <w:pStyle w:val="TableParagraph"/>
              <w:spacing w:before="85"/>
              <w:ind w:left="1500"/>
              <w:jc w:val="left"/>
              <w:rPr>
                <w:b/>
                <w:sz w:val="28"/>
              </w:rPr>
            </w:pPr>
            <w:r>
              <w:rPr>
                <w:b/>
                <w:sz w:val="30"/>
                <w:u w:val="single"/>
              </w:rPr>
              <w:t>Nabídka na dodávku klimatizace </w:t>
            </w:r>
            <w:r>
              <w:rPr>
                <w:b/>
                <w:sz w:val="28"/>
                <w:u w:val="single"/>
              </w:rPr>
              <w:t>2024085 Sinclair</w:t>
            </w:r>
          </w:p>
        </w:tc>
      </w:tr>
      <w:tr>
        <w:trPr>
          <w:trHeight w:val="2484" w:hRule="exact"/>
        </w:trPr>
        <w:tc>
          <w:tcPr>
            <w:tcW w:w="492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38"/>
              </w:rPr>
            </w:pPr>
          </w:p>
          <w:p>
            <w:pPr>
              <w:pStyle w:val="TableParagraph"/>
              <w:spacing w:line="244" w:lineRule="auto" w:before="0"/>
              <w:ind w:left="659" w:right="174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IPR Praha </w:t>
            </w:r>
            <w:r>
              <w:rPr>
                <w:sz w:val="24"/>
              </w:rPr>
              <w:t>Vy</w:t>
            </w:r>
            <w:r>
              <w:rPr>
                <w:i/>
                <w:sz w:val="24"/>
              </w:rPr>
              <w:t>š</w:t>
            </w:r>
            <w:r>
              <w:rPr>
                <w:sz w:val="24"/>
              </w:rPr>
              <w:t>ehradská 2077/57 128 00 Praha 2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0"/>
              <w:ind w:left="36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1. Zařízení a montáž: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580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421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959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243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38"/>
              </w:rPr>
            </w:pPr>
          </w:p>
          <w:p>
            <w:pPr>
              <w:pStyle w:val="TableParagraph"/>
              <w:spacing w:line="270" w:lineRule="exact" w:before="0"/>
              <w:ind w:left="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Klimafactory s.r.o.</w:t>
            </w:r>
          </w:p>
          <w:p>
            <w:pPr>
              <w:pStyle w:val="TableParagraph"/>
              <w:spacing w:line="241" w:lineRule="exact" w:before="0"/>
              <w:ind w:left="83"/>
              <w:jc w:val="left"/>
              <w:rPr>
                <w:sz w:val="22"/>
              </w:rPr>
            </w:pPr>
            <w:r>
              <w:rPr>
                <w:sz w:val="22"/>
              </w:rPr>
              <w:t>K Vodojemu 16</w:t>
            </w:r>
          </w:p>
          <w:p>
            <w:pPr>
              <w:pStyle w:val="TableParagraph"/>
              <w:spacing w:line="240" w:lineRule="exact" w:before="0"/>
              <w:ind w:left="83"/>
              <w:jc w:val="left"/>
              <w:rPr>
                <w:sz w:val="22"/>
              </w:rPr>
            </w:pPr>
            <w:r>
              <w:rPr>
                <w:sz w:val="22"/>
              </w:rPr>
              <w:t>150 00 Praha 5</w:t>
            </w:r>
          </w:p>
          <w:p>
            <w:pPr>
              <w:pStyle w:val="TableParagraph"/>
              <w:spacing w:line="246" w:lineRule="exact" w:before="0"/>
              <w:ind w:left="83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i/>
                <w:sz w:val="22"/>
              </w:rPr>
              <w:t>Č</w:t>
            </w:r>
            <w:r>
              <w:rPr>
                <w:sz w:val="22"/>
              </w:rPr>
              <w:t>O: 09723994</w:t>
            </w:r>
          </w:p>
        </w:tc>
      </w:tr>
      <w:tr>
        <w:trPr>
          <w:trHeight w:val="406" w:hRule="exact"/>
        </w:trPr>
        <w:tc>
          <w:tcPr>
            <w:tcW w:w="611" w:type="dxa"/>
            <w:shd w:val="clear" w:color="auto" w:fill="F8BA00"/>
          </w:tcPr>
          <w:p>
            <w:pPr>
              <w:pStyle w:val="TableParagraph"/>
              <w:spacing w:before="83"/>
              <w:ind w:left="65" w:right="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poz.</w:t>
            </w:r>
          </w:p>
        </w:tc>
        <w:tc>
          <w:tcPr>
            <w:tcW w:w="4311" w:type="dxa"/>
            <w:shd w:val="clear" w:color="auto" w:fill="F8BA00"/>
          </w:tcPr>
          <w:p>
            <w:pPr>
              <w:pStyle w:val="TableParagraph"/>
              <w:spacing w:before="83"/>
              <w:ind w:left="459" w:right="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popis</w:t>
            </w:r>
          </w:p>
        </w:tc>
        <w:tc>
          <w:tcPr>
            <w:tcW w:w="600" w:type="dxa"/>
            <w:shd w:val="clear" w:color="auto" w:fill="F8BA00"/>
          </w:tcPr>
          <w:p>
            <w:pPr>
              <w:pStyle w:val="TableParagraph"/>
              <w:spacing w:before="83"/>
              <w:ind w:left="87" w:right="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m.j.</w:t>
            </w:r>
          </w:p>
        </w:tc>
        <w:tc>
          <w:tcPr>
            <w:tcW w:w="580" w:type="dxa"/>
            <w:shd w:val="clear" w:color="auto" w:fill="F8BA00"/>
          </w:tcPr>
          <w:p>
            <w:pPr>
              <w:pStyle w:val="TableParagraph"/>
              <w:spacing w:before="83"/>
              <w:ind w:left="72" w:righ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mn.</w:t>
            </w:r>
          </w:p>
        </w:tc>
        <w:tc>
          <w:tcPr>
            <w:tcW w:w="1380" w:type="dxa"/>
            <w:gridSpan w:val="2"/>
            <w:shd w:val="clear" w:color="auto" w:fill="F8BA00"/>
          </w:tcPr>
          <w:p>
            <w:pPr>
              <w:pStyle w:val="TableParagraph"/>
              <w:spacing w:before="83"/>
              <w:ind w:left="99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 za m.j.</w:t>
            </w:r>
          </w:p>
        </w:tc>
        <w:tc>
          <w:tcPr>
            <w:tcW w:w="1750" w:type="dxa"/>
            <w:shd w:val="clear" w:color="auto" w:fill="F8BA00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 celkem</w:t>
            </w:r>
          </w:p>
        </w:tc>
        <w:tc>
          <w:tcPr>
            <w:tcW w:w="687" w:type="dxa"/>
            <w:shd w:val="clear" w:color="auto" w:fill="F8BA00"/>
          </w:tcPr>
          <w:p>
            <w:pPr/>
          </w:p>
        </w:tc>
      </w:tr>
      <w:tr>
        <w:trPr>
          <w:trHeight w:val="674" w:hRule="exact"/>
        </w:trPr>
        <w:tc>
          <w:tcPr>
            <w:tcW w:w="611" w:type="dxa"/>
            <w:shd w:val="clear" w:color="auto" w:fill="929292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49" w:lineRule="auto"/>
              <w:ind w:left="1530" w:right="321" w:hanging="1160"/>
              <w:jc w:val="left"/>
              <w:rPr>
                <w:sz w:val="20"/>
              </w:rPr>
            </w:pPr>
            <w:r>
              <w:rPr>
                <w:sz w:val="20"/>
              </w:rPr>
              <w:t>Venkovní kondenza</w:t>
            </w:r>
            <w:r>
              <w:rPr>
                <w:i/>
                <w:sz w:val="20"/>
              </w:rPr>
              <w:t>č</w:t>
            </w:r>
            <w:r>
              <w:rPr>
                <w:sz w:val="20"/>
              </w:rPr>
              <w:t>ní jednotka Sinclair ASGE-48BI-3</w:t>
            </w:r>
          </w:p>
        </w:tc>
        <w:tc>
          <w:tcPr>
            <w:tcW w:w="600" w:type="dxa"/>
          </w:tcPr>
          <w:p>
            <w:pPr>
              <w:pStyle w:val="TableParagraph"/>
              <w:ind w:left="87" w:right="87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0" w:type="dxa"/>
            <w:gridSpan w:val="2"/>
          </w:tcPr>
          <w:p>
            <w:pPr>
              <w:pStyle w:val="TableParagraph"/>
              <w:ind w:left="135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58 656,00 K</w:t>
            </w:r>
            <w:r>
              <w:rPr>
                <w:i/>
                <w:sz w:val="20"/>
              </w:rPr>
              <w:t>č</w:t>
            </w:r>
          </w:p>
        </w:tc>
        <w:tc>
          <w:tcPr>
            <w:tcW w:w="1750" w:type="dxa"/>
          </w:tcPr>
          <w:p>
            <w:pPr>
              <w:pStyle w:val="TableParagraph"/>
              <w:tabs>
                <w:tab w:pos="660" w:val="left" w:leader="none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č</w:t>
              <w:tab/>
            </w: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656,00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674" w:hRule="exact"/>
        </w:trPr>
        <w:tc>
          <w:tcPr>
            <w:tcW w:w="611" w:type="dxa"/>
            <w:shd w:val="clear" w:color="auto" w:fill="929292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4311" w:type="dxa"/>
          </w:tcPr>
          <w:p>
            <w:pPr>
              <w:pStyle w:val="TableParagraph"/>
              <w:spacing w:line="249" w:lineRule="auto"/>
              <w:ind w:left="1648" w:right="572" w:hanging="1075"/>
              <w:jc w:val="left"/>
              <w:rPr>
                <w:sz w:val="20"/>
              </w:rPr>
            </w:pPr>
            <w:r>
              <w:rPr>
                <w:sz w:val="20"/>
              </w:rPr>
              <w:t>Vnit</w:t>
            </w:r>
            <w:r>
              <w:rPr>
                <w:i/>
                <w:sz w:val="20"/>
              </w:rPr>
              <w:t>ř</w:t>
            </w:r>
            <w:r>
              <w:rPr>
                <w:sz w:val="20"/>
              </w:rPr>
              <w:t>ní podstropní jednotka Sinclair ASF-48BI2</w:t>
            </w:r>
          </w:p>
        </w:tc>
        <w:tc>
          <w:tcPr>
            <w:tcW w:w="600" w:type="dxa"/>
          </w:tcPr>
          <w:p>
            <w:pPr>
              <w:pStyle w:val="TableParagraph"/>
              <w:ind w:left="87" w:right="87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0" w:type="dxa"/>
            <w:gridSpan w:val="2"/>
          </w:tcPr>
          <w:p>
            <w:pPr>
              <w:pStyle w:val="TableParagraph"/>
              <w:ind w:left="135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23 990,00 K</w:t>
            </w:r>
            <w:r>
              <w:rPr>
                <w:i/>
                <w:sz w:val="20"/>
              </w:rPr>
              <w:t>č</w:t>
            </w:r>
          </w:p>
        </w:tc>
        <w:tc>
          <w:tcPr>
            <w:tcW w:w="1750" w:type="dxa"/>
          </w:tcPr>
          <w:p>
            <w:pPr>
              <w:pStyle w:val="TableParagraph"/>
              <w:tabs>
                <w:tab w:pos="660" w:val="left" w:leader="none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č</w:t>
              <w:tab/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990,00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34" w:hRule="exact"/>
        </w:trPr>
        <w:tc>
          <w:tcPr>
            <w:tcW w:w="611" w:type="dxa"/>
            <w:shd w:val="clear" w:color="auto" w:fill="929292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4311" w:type="dxa"/>
          </w:tcPr>
          <w:p>
            <w:pPr>
              <w:pStyle w:val="TableParagraph"/>
              <w:ind w:left="459" w:right="459"/>
              <w:rPr>
                <w:sz w:val="20"/>
              </w:rPr>
            </w:pPr>
            <w:r>
              <w:rPr>
                <w:sz w:val="20"/>
              </w:rPr>
              <w:t>Odvod kondenzátu</w:t>
            </w:r>
          </w:p>
        </w:tc>
        <w:tc>
          <w:tcPr>
            <w:tcW w:w="600" w:type="dxa"/>
          </w:tcPr>
          <w:p>
            <w:pPr>
              <w:pStyle w:val="TableParagraph"/>
              <w:ind w:left="87" w:right="87"/>
              <w:rPr>
                <w:sz w:val="20"/>
              </w:rPr>
            </w:pPr>
            <w:r>
              <w:rPr>
                <w:w w:val="105"/>
                <w:sz w:val="20"/>
              </w:rPr>
              <w:t>kpl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ind w:left="58" w:right="5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K</w:t>
            </w:r>
            <w:r>
              <w:rPr>
                <w:i/>
                <w:w w:val="105"/>
                <w:sz w:val="20"/>
              </w:rPr>
              <w:t>č</w:t>
            </w:r>
          </w:p>
        </w:tc>
        <w:tc>
          <w:tcPr>
            <w:tcW w:w="959" w:type="dxa"/>
            <w:tcBorders>
              <w:left w:val="nil"/>
            </w:tcBorders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850,00</w:t>
            </w:r>
          </w:p>
        </w:tc>
        <w:tc>
          <w:tcPr>
            <w:tcW w:w="1750" w:type="dxa"/>
          </w:tcPr>
          <w:p>
            <w:pPr>
              <w:pStyle w:val="TableParagraph"/>
              <w:tabs>
                <w:tab w:pos="938" w:val="left" w:leader="none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č</w:t>
              <w:tab/>
            </w:r>
            <w:r>
              <w:rPr>
                <w:sz w:val="20"/>
              </w:rPr>
              <w:t>850,00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34" w:hRule="exact"/>
        </w:trPr>
        <w:tc>
          <w:tcPr>
            <w:tcW w:w="611" w:type="dxa"/>
            <w:shd w:val="clear" w:color="auto" w:fill="929292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4311" w:type="dxa"/>
          </w:tcPr>
          <w:p>
            <w:pPr>
              <w:pStyle w:val="TableParagraph"/>
              <w:ind w:left="459" w:right="459"/>
              <w:rPr>
                <w:sz w:val="20"/>
              </w:rPr>
            </w:pPr>
            <w:r>
              <w:rPr>
                <w:sz w:val="20"/>
              </w:rPr>
              <w:t>Potrubí CU 16/10, komunika</w:t>
            </w:r>
            <w:r>
              <w:rPr>
                <w:i/>
                <w:sz w:val="20"/>
              </w:rPr>
              <w:t>č</w:t>
            </w:r>
            <w:r>
              <w:rPr>
                <w:sz w:val="20"/>
              </w:rPr>
              <w:t>ní kabel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m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ind w:left="58" w:right="5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K</w:t>
            </w:r>
            <w:r>
              <w:rPr>
                <w:i/>
                <w:w w:val="105"/>
                <w:sz w:val="20"/>
              </w:rPr>
              <w:t>č</w:t>
            </w:r>
          </w:p>
        </w:tc>
        <w:tc>
          <w:tcPr>
            <w:tcW w:w="959" w:type="dxa"/>
            <w:tcBorders>
              <w:left w:val="nil"/>
            </w:tcBorders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850,00</w:t>
            </w:r>
          </w:p>
        </w:tc>
        <w:tc>
          <w:tcPr>
            <w:tcW w:w="1750" w:type="dxa"/>
          </w:tcPr>
          <w:p>
            <w:pPr>
              <w:pStyle w:val="TableParagraph"/>
              <w:tabs>
                <w:tab w:pos="771" w:val="left" w:leader="none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č</w:t>
              <w:tab/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250,00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34" w:hRule="exact"/>
        </w:trPr>
        <w:tc>
          <w:tcPr>
            <w:tcW w:w="611" w:type="dxa"/>
            <w:shd w:val="clear" w:color="auto" w:fill="929292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5</w:t>
            </w:r>
          </w:p>
        </w:tc>
        <w:tc>
          <w:tcPr>
            <w:tcW w:w="4311" w:type="dxa"/>
          </w:tcPr>
          <w:p>
            <w:pPr>
              <w:pStyle w:val="TableParagraph"/>
              <w:ind w:left="459" w:right="459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i/>
                <w:sz w:val="20"/>
              </w:rPr>
              <w:t>ů</w:t>
            </w:r>
            <w:r>
              <w:rPr>
                <w:sz w:val="20"/>
              </w:rPr>
              <w:t>raz zd</w:t>
            </w:r>
            <w:r>
              <w:rPr>
                <w:i/>
                <w:sz w:val="20"/>
              </w:rPr>
              <w:t>ě</w:t>
            </w:r>
            <w:r>
              <w:rPr>
                <w:sz w:val="20"/>
              </w:rPr>
              <w:t>nou konstrukcí</w:t>
            </w:r>
          </w:p>
        </w:tc>
        <w:tc>
          <w:tcPr>
            <w:tcW w:w="600" w:type="dxa"/>
          </w:tcPr>
          <w:p>
            <w:pPr>
              <w:pStyle w:val="TableParagraph"/>
              <w:ind w:left="87" w:right="87"/>
              <w:rPr>
                <w:sz w:val="20"/>
              </w:rPr>
            </w:pPr>
            <w:r>
              <w:rPr>
                <w:w w:val="105"/>
                <w:sz w:val="20"/>
              </w:rPr>
              <w:t>kpl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ind w:left="58" w:right="5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K</w:t>
            </w:r>
            <w:r>
              <w:rPr>
                <w:i/>
                <w:w w:val="105"/>
                <w:sz w:val="20"/>
              </w:rPr>
              <w:t>č</w:t>
            </w:r>
          </w:p>
        </w:tc>
        <w:tc>
          <w:tcPr>
            <w:tcW w:w="959" w:type="dxa"/>
            <w:tcBorders>
              <w:left w:val="nil"/>
            </w:tcBorders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1 200,00</w:t>
            </w:r>
          </w:p>
        </w:tc>
        <w:tc>
          <w:tcPr>
            <w:tcW w:w="1750" w:type="dxa"/>
          </w:tcPr>
          <w:p>
            <w:pPr>
              <w:pStyle w:val="TableParagraph"/>
              <w:tabs>
                <w:tab w:pos="771" w:val="left" w:leader="none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č</w:t>
              <w:tab/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34" w:hRule="exact"/>
        </w:trPr>
        <w:tc>
          <w:tcPr>
            <w:tcW w:w="611" w:type="dxa"/>
            <w:shd w:val="clear" w:color="auto" w:fill="929292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6</w:t>
            </w:r>
          </w:p>
        </w:tc>
        <w:tc>
          <w:tcPr>
            <w:tcW w:w="4311" w:type="dxa"/>
          </w:tcPr>
          <w:p>
            <w:pPr>
              <w:pStyle w:val="TableParagraph"/>
              <w:ind w:left="459" w:right="459"/>
              <w:rPr>
                <w:sz w:val="20"/>
              </w:rPr>
            </w:pPr>
            <w:r>
              <w:rPr>
                <w:w w:val="105"/>
                <w:sz w:val="20"/>
              </w:rPr>
              <w:t>Konzole pod jednotku</w:t>
            </w:r>
          </w:p>
        </w:tc>
        <w:tc>
          <w:tcPr>
            <w:tcW w:w="600" w:type="dxa"/>
          </w:tcPr>
          <w:p>
            <w:pPr>
              <w:pStyle w:val="TableParagraph"/>
              <w:ind w:left="87" w:right="87"/>
              <w:rPr>
                <w:sz w:val="20"/>
              </w:rPr>
            </w:pPr>
            <w:r>
              <w:rPr>
                <w:w w:val="105"/>
                <w:sz w:val="20"/>
              </w:rPr>
              <w:t>kpl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ind w:left="58" w:right="5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K</w:t>
            </w:r>
            <w:r>
              <w:rPr>
                <w:i/>
                <w:w w:val="105"/>
                <w:sz w:val="20"/>
              </w:rPr>
              <w:t>č</w:t>
            </w:r>
          </w:p>
        </w:tc>
        <w:tc>
          <w:tcPr>
            <w:tcW w:w="959" w:type="dxa"/>
            <w:tcBorders>
              <w:left w:val="nil"/>
            </w:tcBorders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1 850,00</w:t>
            </w:r>
          </w:p>
        </w:tc>
        <w:tc>
          <w:tcPr>
            <w:tcW w:w="1750" w:type="dxa"/>
          </w:tcPr>
          <w:p>
            <w:pPr>
              <w:pStyle w:val="TableParagraph"/>
              <w:tabs>
                <w:tab w:pos="771" w:val="left" w:leader="none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č</w:t>
              <w:tab/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850,00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34" w:hRule="exact"/>
        </w:trPr>
        <w:tc>
          <w:tcPr>
            <w:tcW w:w="611" w:type="dxa"/>
            <w:shd w:val="clear" w:color="auto" w:fill="929292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7</w:t>
            </w:r>
          </w:p>
        </w:tc>
        <w:tc>
          <w:tcPr>
            <w:tcW w:w="4311" w:type="dxa"/>
          </w:tcPr>
          <w:p>
            <w:pPr>
              <w:pStyle w:val="TableParagraph"/>
              <w:ind w:left="459" w:right="459"/>
              <w:rPr>
                <w:sz w:val="20"/>
              </w:rPr>
            </w:pPr>
            <w:r>
              <w:rPr>
                <w:sz w:val="20"/>
              </w:rPr>
              <w:t>Spojovací materiál</w:t>
            </w:r>
          </w:p>
        </w:tc>
        <w:tc>
          <w:tcPr>
            <w:tcW w:w="600" w:type="dxa"/>
          </w:tcPr>
          <w:p>
            <w:pPr>
              <w:pStyle w:val="TableParagraph"/>
              <w:ind w:left="87" w:right="87"/>
              <w:rPr>
                <w:sz w:val="20"/>
              </w:rPr>
            </w:pPr>
            <w:r>
              <w:rPr>
                <w:w w:val="105"/>
                <w:sz w:val="20"/>
              </w:rPr>
              <w:t>kpl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ind w:left="58" w:right="5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K</w:t>
            </w:r>
            <w:r>
              <w:rPr>
                <w:i/>
                <w:w w:val="105"/>
                <w:sz w:val="20"/>
              </w:rPr>
              <w:t>č</w:t>
            </w:r>
          </w:p>
        </w:tc>
        <w:tc>
          <w:tcPr>
            <w:tcW w:w="959" w:type="dxa"/>
            <w:tcBorders>
              <w:left w:val="nil"/>
            </w:tcBorders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450,00</w:t>
            </w:r>
          </w:p>
        </w:tc>
        <w:tc>
          <w:tcPr>
            <w:tcW w:w="1750" w:type="dxa"/>
          </w:tcPr>
          <w:p>
            <w:pPr>
              <w:pStyle w:val="TableParagraph"/>
              <w:tabs>
                <w:tab w:pos="938" w:val="left" w:leader="none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č</w:t>
              <w:tab/>
            </w:r>
            <w:r>
              <w:rPr>
                <w:sz w:val="20"/>
              </w:rPr>
              <w:t>450,00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34" w:hRule="exact"/>
        </w:trPr>
        <w:tc>
          <w:tcPr>
            <w:tcW w:w="611" w:type="dxa"/>
            <w:shd w:val="clear" w:color="auto" w:fill="929292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8</w:t>
            </w:r>
          </w:p>
        </w:tc>
        <w:tc>
          <w:tcPr>
            <w:tcW w:w="4311" w:type="dxa"/>
          </w:tcPr>
          <w:p>
            <w:pPr>
              <w:pStyle w:val="TableParagraph"/>
              <w:ind w:left="459" w:right="459"/>
              <w:rPr>
                <w:sz w:val="20"/>
              </w:rPr>
            </w:pPr>
            <w:r>
              <w:rPr>
                <w:sz w:val="20"/>
              </w:rPr>
              <w:t>Montá</w:t>
            </w:r>
            <w:r>
              <w:rPr>
                <w:i/>
                <w:sz w:val="20"/>
              </w:rPr>
              <w:t>ž </w:t>
            </w:r>
            <w:r>
              <w:rPr>
                <w:sz w:val="20"/>
              </w:rPr>
              <w:t>potrubí</w:t>
            </w:r>
          </w:p>
        </w:tc>
        <w:tc>
          <w:tcPr>
            <w:tcW w:w="600" w:type="dxa"/>
          </w:tcPr>
          <w:p>
            <w:pPr>
              <w:pStyle w:val="TableParagraph"/>
              <w:ind w:left="87" w:right="87"/>
              <w:rPr>
                <w:sz w:val="20"/>
              </w:rPr>
            </w:pPr>
            <w:r>
              <w:rPr>
                <w:w w:val="105"/>
                <w:sz w:val="20"/>
              </w:rPr>
              <w:t>kpl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ind w:left="58" w:right="5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K</w:t>
            </w:r>
            <w:r>
              <w:rPr>
                <w:i/>
                <w:w w:val="105"/>
                <w:sz w:val="20"/>
              </w:rPr>
              <w:t>č</w:t>
            </w:r>
          </w:p>
        </w:tc>
        <w:tc>
          <w:tcPr>
            <w:tcW w:w="959" w:type="dxa"/>
            <w:tcBorders>
              <w:left w:val="nil"/>
            </w:tcBorders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300,00</w:t>
            </w:r>
          </w:p>
        </w:tc>
        <w:tc>
          <w:tcPr>
            <w:tcW w:w="1750" w:type="dxa"/>
          </w:tcPr>
          <w:p>
            <w:pPr>
              <w:pStyle w:val="TableParagraph"/>
              <w:tabs>
                <w:tab w:pos="771" w:val="left" w:leader="none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č</w:t>
              <w:tab/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500,00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34" w:hRule="exact"/>
        </w:trPr>
        <w:tc>
          <w:tcPr>
            <w:tcW w:w="611" w:type="dxa"/>
            <w:shd w:val="clear" w:color="auto" w:fill="929292"/>
          </w:tcPr>
          <w:p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9</w:t>
            </w:r>
          </w:p>
        </w:tc>
        <w:tc>
          <w:tcPr>
            <w:tcW w:w="4311" w:type="dxa"/>
          </w:tcPr>
          <w:p>
            <w:pPr>
              <w:pStyle w:val="TableParagraph"/>
              <w:ind w:left="459" w:right="459"/>
              <w:rPr>
                <w:sz w:val="20"/>
              </w:rPr>
            </w:pPr>
            <w:r>
              <w:rPr>
                <w:sz w:val="20"/>
              </w:rPr>
              <w:t>Montá</w:t>
            </w:r>
            <w:r>
              <w:rPr>
                <w:i/>
                <w:sz w:val="20"/>
              </w:rPr>
              <w:t>ž </w:t>
            </w:r>
            <w:r>
              <w:rPr>
                <w:sz w:val="20"/>
              </w:rPr>
              <w:t>vnit</w:t>
            </w:r>
            <w:r>
              <w:rPr>
                <w:i/>
                <w:sz w:val="20"/>
              </w:rPr>
              <w:t>ř</w:t>
            </w:r>
            <w:r>
              <w:rPr>
                <w:sz w:val="20"/>
              </w:rPr>
              <w:t>ní jednotky</w:t>
            </w:r>
          </w:p>
        </w:tc>
        <w:tc>
          <w:tcPr>
            <w:tcW w:w="600" w:type="dxa"/>
          </w:tcPr>
          <w:p>
            <w:pPr>
              <w:pStyle w:val="TableParagraph"/>
              <w:ind w:left="87" w:right="87"/>
              <w:rPr>
                <w:sz w:val="20"/>
              </w:rPr>
            </w:pPr>
            <w:r>
              <w:rPr>
                <w:w w:val="105"/>
                <w:sz w:val="20"/>
              </w:rPr>
              <w:t>kpl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ind w:left="58" w:right="5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K</w:t>
            </w:r>
            <w:r>
              <w:rPr>
                <w:i/>
                <w:w w:val="105"/>
                <w:sz w:val="20"/>
              </w:rPr>
              <w:t>č</w:t>
            </w:r>
          </w:p>
        </w:tc>
        <w:tc>
          <w:tcPr>
            <w:tcW w:w="959" w:type="dxa"/>
            <w:tcBorders>
              <w:left w:val="nil"/>
            </w:tcBorders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750" w:type="dxa"/>
          </w:tcPr>
          <w:p>
            <w:pPr>
              <w:pStyle w:val="TableParagraph"/>
              <w:tabs>
                <w:tab w:pos="771" w:val="left" w:leader="none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č</w:t>
              <w:tab/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34" w:hRule="exact"/>
        </w:trPr>
        <w:tc>
          <w:tcPr>
            <w:tcW w:w="611" w:type="dxa"/>
            <w:shd w:val="clear" w:color="auto" w:fill="929292"/>
          </w:tcPr>
          <w:p>
            <w:pPr>
              <w:pStyle w:val="TableParagraph"/>
              <w:spacing w:before="83"/>
              <w:ind w:left="65" w:right="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</w:t>
            </w:r>
          </w:p>
        </w:tc>
        <w:tc>
          <w:tcPr>
            <w:tcW w:w="4311" w:type="dxa"/>
          </w:tcPr>
          <w:p>
            <w:pPr>
              <w:pStyle w:val="TableParagraph"/>
              <w:ind w:left="459" w:right="459"/>
              <w:rPr>
                <w:sz w:val="20"/>
              </w:rPr>
            </w:pPr>
            <w:r>
              <w:rPr>
                <w:sz w:val="20"/>
              </w:rPr>
              <w:t>Montá</w:t>
            </w:r>
            <w:r>
              <w:rPr>
                <w:i/>
                <w:sz w:val="20"/>
              </w:rPr>
              <w:t>ž </w:t>
            </w:r>
            <w:r>
              <w:rPr>
                <w:sz w:val="20"/>
              </w:rPr>
              <w:t>venkovní jednotky</w:t>
            </w:r>
          </w:p>
        </w:tc>
        <w:tc>
          <w:tcPr>
            <w:tcW w:w="600" w:type="dxa"/>
          </w:tcPr>
          <w:p>
            <w:pPr>
              <w:pStyle w:val="TableParagraph"/>
              <w:ind w:left="87" w:right="87"/>
              <w:rPr>
                <w:sz w:val="20"/>
              </w:rPr>
            </w:pPr>
            <w:r>
              <w:rPr>
                <w:w w:val="105"/>
                <w:sz w:val="20"/>
              </w:rPr>
              <w:t>kpl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ind w:left="58" w:right="5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K</w:t>
            </w:r>
            <w:r>
              <w:rPr>
                <w:i/>
                <w:w w:val="105"/>
                <w:sz w:val="20"/>
              </w:rPr>
              <w:t>č</w:t>
            </w:r>
          </w:p>
        </w:tc>
        <w:tc>
          <w:tcPr>
            <w:tcW w:w="959" w:type="dxa"/>
            <w:tcBorders>
              <w:left w:val="nil"/>
            </w:tcBorders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750" w:type="dxa"/>
          </w:tcPr>
          <w:p>
            <w:pPr>
              <w:pStyle w:val="TableParagraph"/>
              <w:tabs>
                <w:tab w:pos="771" w:val="left" w:leader="none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č</w:t>
              <w:tab/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34" w:hRule="exact"/>
        </w:trPr>
        <w:tc>
          <w:tcPr>
            <w:tcW w:w="611" w:type="dxa"/>
            <w:shd w:val="clear" w:color="auto" w:fill="929292"/>
          </w:tcPr>
          <w:p>
            <w:pPr>
              <w:pStyle w:val="TableParagraph"/>
              <w:spacing w:before="83"/>
              <w:ind w:left="65" w:right="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11</w:t>
            </w:r>
          </w:p>
        </w:tc>
        <w:tc>
          <w:tcPr>
            <w:tcW w:w="4311" w:type="dxa"/>
          </w:tcPr>
          <w:p>
            <w:pPr>
              <w:pStyle w:val="TableParagraph"/>
              <w:ind w:left="459" w:right="459"/>
              <w:rPr>
                <w:sz w:val="20"/>
              </w:rPr>
            </w:pPr>
            <w:r>
              <w:rPr>
                <w:sz w:val="20"/>
              </w:rPr>
              <w:t>Doprava a manipulace</w:t>
            </w:r>
          </w:p>
        </w:tc>
        <w:tc>
          <w:tcPr>
            <w:tcW w:w="600" w:type="dxa"/>
          </w:tcPr>
          <w:p>
            <w:pPr>
              <w:pStyle w:val="TableParagraph"/>
              <w:ind w:left="87" w:right="87"/>
              <w:rPr>
                <w:sz w:val="20"/>
              </w:rPr>
            </w:pPr>
            <w:r>
              <w:rPr>
                <w:w w:val="105"/>
                <w:sz w:val="20"/>
              </w:rPr>
              <w:t>kpl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ind w:left="58" w:right="58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K</w:t>
            </w:r>
            <w:r>
              <w:rPr>
                <w:i/>
                <w:w w:val="105"/>
                <w:sz w:val="20"/>
              </w:rPr>
              <w:t>č</w:t>
            </w:r>
          </w:p>
        </w:tc>
        <w:tc>
          <w:tcPr>
            <w:tcW w:w="959" w:type="dxa"/>
            <w:tcBorders>
              <w:left w:val="nil"/>
            </w:tcBorders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750" w:type="dxa"/>
          </w:tcPr>
          <w:p>
            <w:pPr>
              <w:pStyle w:val="TableParagraph"/>
              <w:tabs>
                <w:tab w:pos="771" w:val="left" w:leader="none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i/>
                <w:sz w:val="20"/>
              </w:rPr>
              <w:t>č</w:t>
              <w:tab/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34" w:hRule="exact"/>
        </w:trPr>
        <w:tc>
          <w:tcPr>
            <w:tcW w:w="611" w:type="dxa"/>
            <w:shd w:val="clear" w:color="auto" w:fill="929292"/>
          </w:tcPr>
          <w:p>
            <w:pPr/>
          </w:p>
        </w:tc>
        <w:tc>
          <w:tcPr>
            <w:tcW w:w="4311" w:type="dxa"/>
          </w:tcPr>
          <w:p>
            <w:pPr/>
          </w:p>
        </w:tc>
        <w:tc>
          <w:tcPr>
            <w:tcW w:w="600" w:type="dxa"/>
          </w:tcPr>
          <w:p>
            <w:pPr/>
          </w:p>
        </w:tc>
        <w:tc>
          <w:tcPr>
            <w:tcW w:w="580" w:type="dxa"/>
          </w:tcPr>
          <w:p>
            <w:pPr/>
          </w:p>
        </w:tc>
        <w:tc>
          <w:tcPr>
            <w:tcW w:w="1380" w:type="dxa"/>
            <w:gridSpan w:val="2"/>
          </w:tcPr>
          <w:p>
            <w:pPr/>
          </w:p>
        </w:tc>
        <w:tc>
          <w:tcPr>
            <w:tcW w:w="1750" w:type="dxa"/>
          </w:tcPr>
          <w:p>
            <w:pPr/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93" w:hRule="exact"/>
        </w:trPr>
        <w:tc>
          <w:tcPr>
            <w:tcW w:w="611" w:type="dxa"/>
            <w:shd w:val="clear" w:color="auto" w:fill="929292"/>
          </w:tcPr>
          <w:p>
            <w:pPr/>
          </w:p>
        </w:tc>
        <w:tc>
          <w:tcPr>
            <w:tcW w:w="4311" w:type="dxa"/>
          </w:tcPr>
          <w:p>
            <w:pPr>
              <w:pStyle w:val="TableParagraph"/>
              <w:spacing w:before="83"/>
              <w:ind w:left="459" w:right="459"/>
              <w:rPr>
                <w:b/>
                <w:sz w:val="20"/>
              </w:rPr>
            </w:pPr>
            <w:r>
              <w:rPr>
                <w:b/>
                <w:sz w:val="20"/>
              </w:rPr>
              <w:t>Celkem bez DPH</w:t>
            </w:r>
          </w:p>
        </w:tc>
        <w:tc>
          <w:tcPr>
            <w:tcW w:w="600" w:type="dxa"/>
          </w:tcPr>
          <w:p>
            <w:pPr/>
          </w:p>
        </w:tc>
        <w:tc>
          <w:tcPr>
            <w:tcW w:w="580" w:type="dxa"/>
          </w:tcPr>
          <w:p>
            <w:pPr/>
          </w:p>
        </w:tc>
        <w:tc>
          <w:tcPr>
            <w:tcW w:w="1380" w:type="dxa"/>
            <w:gridSpan w:val="2"/>
          </w:tcPr>
          <w:p>
            <w:pPr/>
          </w:p>
        </w:tc>
        <w:tc>
          <w:tcPr>
            <w:tcW w:w="1750" w:type="dxa"/>
          </w:tcPr>
          <w:p>
            <w:pPr>
              <w:pStyle w:val="TableParagraph"/>
              <w:spacing w:before="96"/>
              <w:rPr>
                <w:b/>
                <w:sz w:val="24"/>
              </w:rPr>
            </w:pPr>
            <w:r>
              <w:rPr>
                <w:b/>
                <w:sz w:val="24"/>
              </w:rPr>
              <w:t>Kč   99 746,00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493" w:hRule="exact"/>
        </w:trPr>
        <w:tc>
          <w:tcPr>
            <w:tcW w:w="611" w:type="dxa"/>
            <w:shd w:val="clear" w:color="auto" w:fill="929292"/>
          </w:tcPr>
          <w:p>
            <w:pPr/>
          </w:p>
        </w:tc>
        <w:tc>
          <w:tcPr>
            <w:tcW w:w="4311" w:type="dxa"/>
          </w:tcPr>
          <w:p>
            <w:pPr>
              <w:pStyle w:val="TableParagraph"/>
              <w:spacing w:before="83"/>
              <w:ind w:left="459" w:right="459"/>
              <w:rPr>
                <w:b/>
                <w:sz w:val="20"/>
              </w:rPr>
            </w:pPr>
            <w:r>
              <w:rPr>
                <w:b/>
                <w:sz w:val="20"/>
              </w:rPr>
              <w:t>Celkem včetně DPH 21%</w:t>
            </w:r>
          </w:p>
        </w:tc>
        <w:tc>
          <w:tcPr>
            <w:tcW w:w="600" w:type="dxa"/>
          </w:tcPr>
          <w:p>
            <w:pPr/>
          </w:p>
        </w:tc>
        <w:tc>
          <w:tcPr>
            <w:tcW w:w="580" w:type="dxa"/>
          </w:tcPr>
          <w:p>
            <w:pPr/>
          </w:p>
        </w:tc>
        <w:tc>
          <w:tcPr>
            <w:tcW w:w="1380" w:type="dxa"/>
            <w:gridSpan w:val="2"/>
          </w:tcPr>
          <w:p>
            <w:pPr/>
          </w:p>
        </w:tc>
        <w:tc>
          <w:tcPr>
            <w:tcW w:w="1750" w:type="dxa"/>
          </w:tcPr>
          <w:p>
            <w:pPr>
              <w:pStyle w:val="TableParagraph"/>
              <w:spacing w:before="96"/>
              <w:rPr>
                <w:b/>
                <w:sz w:val="24"/>
              </w:rPr>
            </w:pPr>
            <w:r>
              <w:rPr>
                <w:b/>
                <w:sz w:val="24"/>
              </w:rPr>
              <w:t>Kč 120 692,66</w:t>
            </w:r>
          </w:p>
        </w:tc>
        <w:tc>
          <w:tcPr>
            <w:tcW w:w="687" w:type="dxa"/>
            <w:shd w:val="clear" w:color="auto" w:fill="929292"/>
          </w:tcPr>
          <w:p>
            <w:pPr/>
          </w:p>
        </w:tc>
      </w:tr>
      <w:tr>
        <w:trPr>
          <w:trHeight w:val="7095" w:hRule="exact"/>
        </w:trPr>
        <w:tc>
          <w:tcPr>
            <w:tcW w:w="9919" w:type="dxa"/>
            <w:gridSpan w:val="8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32" w:val="left" w:leader="none"/>
              </w:tabs>
              <w:spacing w:line="240" w:lineRule="auto" w:before="73" w:after="0"/>
              <w:ind w:left="331" w:right="0" w:hanging="245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Popis</w:t>
            </w:r>
            <w:r>
              <w:rPr>
                <w:b/>
                <w:spacing w:val="-18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zařízení: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86"/>
              <w:jc w:val="left"/>
              <w:rPr>
                <w:sz w:val="22"/>
              </w:rPr>
            </w:pPr>
            <w:r>
              <w:rPr>
                <w:sz w:val="22"/>
              </w:rPr>
              <w:t>Jedná se o instalaci klimatizace do serverovny. Ovládání infra ovlada</w:t>
            </w:r>
            <w:r>
              <w:rPr>
                <w:i/>
                <w:sz w:val="22"/>
              </w:rPr>
              <w:t>č</w:t>
            </w:r>
            <w:r>
              <w:rPr>
                <w:sz w:val="22"/>
              </w:rPr>
              <w:t>em.</w:t>
            </w:r>
          </w:p>
          <w:p>
            <w:pPr>
              <w:pStyle w:val="TableParagraph"/>
              <w:spacing w:before="4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2" w:val="left" w:leader="none"/>
              </w:tabs>
              <w:spacing w:line="240" w:lineRule="auto" w:before="0" w:after="0"/>
              <w:ind w:left="331" w:right="0" w:hanging="245"/>
              <w:jc w:val="lef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  <w:u w:val="single"/>
              </w:rPr>
              <w:t>Termín</w:t>
            </w:r>
            <w:r>
              <w:rPr>
                <w:b/>
                <w:spacing w:val="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realizace: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148"/>
              <w:jc w:val="left"/>
              <w:rPr>
                <w:sz w:val="22"/>
              </w:rPr>
            </w:pPr>
            <w:r>
              <w:rPr>
                <w:sz w:val="22"/>
              </w:rPr>
              <w:t>Dle dohody. Místo realizace: Vy</w:t>
            </w:r>
            <w:r>
              <w:rPr>
                <w:i/>
                <w:sz w:val="22"/>
              </w:rPr>
              <w:t>š</w:t>
            </w:r>
            <w:r>
              <w:rPr>
                <w:sz w:val="22"/>
              </w:rPr>
              <w:t>ehradská 57, Praha 2</w:t>
            </w:r>
          </w:p>
          <w:p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2" w:val="left" w:leader="none"/>
              </w:tabs>
              <w:spacing w:line="240" w:lineRule="auto" w:before="1" w:after="0"/>
              <w:ind w:left="331" w:right="0" w:hanging="245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Všeobecné</w:t>
            </w:r>
            <w:r>
              <w:rPr>
                <w:b/>
                <w:spacing w:val="-1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podmínky</w:t>
            </w: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exact" w:before="0"/>
              <w:ind w:left="86" w:right="4615"/>
              <w:jc w:val="left"/>
              <w:rPr>
                <w:sz w:val="22"/>
              </w:rPr>
            </w:pPr>
            <w:r>
              <w:rPr>
                <w:sz w:val="22"/>
              </w:rPr>
              <w:t>Nabídka je platná </w:t>
            </w:r>
            <w:r>
              <w:rPr>
                <w:i/>
                <w:sz w:val="22"/>
              </w:rPr>
              <w:t>š</w:t>
            </w:r>
            <w:r>
              <w:rPr>
                <w:sz w:val="22"/>
              </w:rPr>
              <w:t>est t</w:t>
            </w:r>
            <w:r>
              <w:rPr>
                <w:i/>
                <w:sz w:val="22"/>
              </w:rPr>
              <w:t>ý</w:t>
            </w:r>
            <w:r>
              <w:rPr>
                <w:sz w:val="22"/>
              </w:rPr>
              <w:t>dnu ode dne vystavení. V</w:t>
            </w:r>
            <w:r>
              <w:rPr>
                <w:i/>
                <w:sz w:val="22"/>
              </w:rPr>
              <w:t>š</w:t>
            </w:r>
            <w:r>
              <w:rPr>
                <w:sz w:val="22"/>
              </w:rPr>
              <w:t>echny ceny uvedeny bez DPH.</w:t>
            </w:r>
          </w:p>
          <w:p>
            <w:pPr>
              <w:pStyle w:val="TableParagraph"/>
              <w:spacing w:line="240" w:lineRule="exact" w:before="0"/>
              <w:ind w:left="86" w:right="4615"/>
              <w:jc w:val="left"/>
              <w:rPr>
                <w:sz w:val="22"/>
              </w:rPr>
            </w:pPr>
            <w:r>
              <w:rPr>
                <w:sz w:val="22"/>
              </w:rPr>
              <w:t>Mno</w:t>
            </w:r>
            <w:r>
              <w:rPr>
                <w:i/>
                <w:sz w:val="22"/>
              </w:rPr>
              <w:t>ž</w:t>
            </w:r>
            <w:r>
              <w:rPr>
                <w:sz w:val="22"/>
              </w:rPr>
              <w:t>ství bude ú</w:t>
            </w:r>
            <w:r>
              <w:rPr>
                <w:i/>
                <w:sz w:val="22"/>
              </w:rPr>
              <w:t>č</w:t>
            </w:r>
            <w:r>
              <w:rPr>
                <w:sz w:val="22"/>
              </w:rPr>
              <w:t>továno dle skute</w:t>
            </w:r>
            <w:r>
              <w:rPr>
                <w:i/>
                <w:sz w:val="22"/>
              </w:rPr>
              <w:t>č</w:t>
            </w:r>
            <w:r>
              <w:rPr>
                <w:sz w:val="22"/>
              </w:rPr>
              <w:t>nosti. Neobsahuje stavební práce, ani elektro silov</w:t>
            </w:r>
            <w:r>
              <w:rPr>
                <w:i/>
                <w:sz w:val="22"/>
              </w:rPr>
              <w:t>ý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i/>
                <w:sz w:val="22"/>
              </w:rPr>
              <w:t>ř</w:t>
            </w:r>
            <w:r>
              <w:rPr>
                <w:sz w:val="22"/>
              </w:rPr>
              <w:t>ívod.</w:t>
            </w:r>
          </w:p>
          <w:p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2" w:val="left" w:leader="none"/>
              </w:tabs>
              <w:spacing w:line="240" w:lineRule="auto" w:before="0" w:after="0"/>
              <w:ind w:left="331" w:right="0" w:hanging="245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Platební</w:t>
            </w:r>
            <w:r>
              <w:rPr>
                <w:b/>
                <w:spacing w:val="-1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podmínky</w:t>
            </w:r>
          </w:p>
          <w:p>
            <w:pPr>
              <w:pStyle w:val="TableParagraph"/>
              <w:spacing w:before="6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86"/>
              <w:jc w:val="left"/>
              <w:rPr>
                <w:sz w:val="22"/>
              </w:rPr>
            </w:pPr>
            <w:r>
              <w:rPr>
                <w:sz w:val="22"/>
              </w:rPr>
              <w:t>Platba po p</w:t>
            </w:r>
            <w:r>
              <w:rPr>
                <w:i/>
                <w:sz w:val="22"/>
              </w:rPr>
              <w:t>ř</w:t>
            </w:r>
            <w:r>
              <w:rPr>
                <w:sz w:val="22"/>
              </w:rPr>
              <w:t>edání díla, bezhotovostn</w:t>
            </w:r>
            <w:r>
              <w:rPr>
                <w:i/>
                <w:sz w:val="22"/>
              </w:rPr>
              <w:t>ě </w:t>
            </w:r>
            <w:r>
              <w:rPr>
                <w:sz w:val="22"/>
              </w:rPr>
              <w:t>na fakturu. Splatnost 30 dní.</w:t>
            </w: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2" w:val="left" w:leader="none"/>
              </w:tabs>
              <w:spacing w:line="240" w:lineRule="auto" w:before="0" w:after="0"/>
              <w:ind w:left="331" w:right="0" w:hanging="245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Záruční</w:t>
            </w:r>
            <w:r>
              <w:rPr>
                <w:b/>
                <w:spacing w:val="-5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podmínky</w:t>
            </w:r>
          </w:p>
          <w:p>
            <w:pPr>
              <w:pStyle w:val="TableParagraph"/>
              <w:spacing w:before="9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exact" w:before="0"/>
              <w:ind w:left="86"/>
              <w:jc w:val="left"/>
              <w:rPr>
                <w:sz w:val="22"/>
              </w:rPr>
            </w:pPr>
            <w:r>
              <w:rPr>
                <w:sz w:val="22"/>
              </w:rPr>
              <w:t>Na práci a za</w:t>
            </w:r>
            <w:r>
              <w:rPr>
                <w:i/>
                <w:sz w:val="22"/>
              </w:rPr>
              <w:t>ř</w:t>
            </w:r>
            <w:r>
              <w:rPr>
                <w:sz w:val="22"/>
              </w:rPr>
              <w:t>ízení je poskytována záruka v délce 36 m</w:t>
            </w:r>
            <w:r>
              <w:rPr>
                <w:i/>
                <w:sz w:val="22"/>
              </w:rPr>
              <w:t>ě</w:t>
            </w:r>
            <w:r>
              <w:rPr>
                <w:sz w:val="22"/>
              </w:rPr>
              <w:t>síc</w:t>
            </w:r>
            <w:r>
              <w:rPr>
                <w:i/>
                <w:sz w:val="22"/>
              </w:rPr>
              <w:t>ů</w:t>
            </w:r>
            <w:r>
              <w:rPr>
                <w:sz w:val="22"/>
              </w:rPr>
              <w:t>, podmín</w:t>
            </w:r>
            <w:r>
              <w:rPr>
                <w:i/>
                <w:sz w:val="22"/>
              </w:rPr>
              <w:t>ě</w:t>
            </w:r>
            <w:r>
              <w:rPr>
                <w:sz w:val="22"/>
              </w:rPr>
              <w:t>na pravideln</w:t>
            </w:r>
            <w:r>
              <w:rPr>
                <w:i/>
                <w:sz w:val="22"/>
              </w:rPr>
              <w:t>ý</w:t>
            </w:r>
            <w:r>
              <w:rPr>
                <w:sz w:val="22"/>
              </w:rPr>
              <w:t>m servisem 1x/12 m</w:t>
            </w:r>
            <w:r>
              <w:rPr>
                <w:i/>
                <w:sz w:val="22"/>
              </w:rPr>
              <w:t>ě</w:t>
            </w:r>
            <w:r>
              <w:rPr>
                <w:sz w:val="22"/>
              </w:rPr>
              <w:t>síc</w:t>
            </w:r>
            <w:r>
              <w:rPr>
                <w:i/>
                <w:sz w:val="22"/>
              </w:rPr>
              <w:t>ů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225"/>
              <w:ind w:left="86"/>
              <w:jc w:val="left"/>
              <w:rPr>
                <w:sz w:val="22"/>
              </w:rPr>
            </w:pPr>
            <w:r>
              <w:rPr>
                <w:sz w:val="22"/>
              </w:rPr>
              <w:t>V Praze dne: 23 b</w:t>
            </w:r>
            <w:r>
              <w:rPr>
                <w:i/>
                <w:sz w:val="22"/>
              </w:rPr>
              <w:t>ř</w:t>
            </w:r>
            <w:r>
              <w:rPr>
                <w:sz w:val="22"/>
              </w:rPr>
              <w:t>ezna 2025</w:t>
            </w:r>
          </w:p>
          <w:p>
            <w:pPr>
              <w:pStyle w:val="TableParagraph"/>
              <w:spacing w:before="5"/>
              <w:ind w:left="3731" w:right="3944"/>
              <w:rPr>
                <w:b/>
                <w:sz w:val="22"/>
              </w:rPr>
            </w:pPr>
            <w:hyperlink r:id="rId5">
              <w:r>
                <w:rPr>
                  <w:b/>
                  <w:sz w:val="22"/>
                </w:rPr>
                <w:t>www.klimafactory.cz</w:t>
              </w:r>
            </w:hyperlink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BodyText"/>
        <w:spacing w:before="109"/>
        <w:ind w:left="1273"/>
        <w:jc w:val="center"/>
      </w:pPr>
      <w:r>
        <w:rPr>
          <w:w w:val="101"/>
        </w:rPr>
        <w:t>1</w:t>
      </w:r>
    </w:p>
    <w:sectPr>
      <w:type w:val="continuous"/>
      <w:pgSz w:w="14170" w:h="20050"/>
      <w:pgMar w:top="1260" w:bottom="280" w:left="720" w:right="2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331" w:hanging="245"/>
        <w:jc w:val="left"/>
      </w:pPr>
      <w:rPr>
        <w:rFonts w:hint="default"/>
        <w:w w:val="99"/>
        <w:u w:val="single" w:color="000000"/>
      </w:rPr>
    </w:lvl>
    <w:lvl w:ilvl="1">
      <w:start w:val="0"/>
      <w:numFmt w:val="bullet"/>
      <w:lvlText w:val="•"/>
      <w:lvlJc w:val="left"/>
      <w:pPr>
        <w:ind w:left="1293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7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1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5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9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7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1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84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limafactory.cz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IPR Praha 2024085 Sinclair</dc:title>
  <dcterms:created xsi:type="dcterms:W3CDTF">2025-05-19T11:11:05Z</dcterms:created>
  <dcterms:modified xsi:type="dcterms:W3CDTF">2025-05-19T11:11:05Z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2025-03-23T00:00:00Z</vt:filetime>
  </property>
  <property fmtid="{D5CDD505-2E9C-101B-9397-08002B2CF9AE}" pid="3" name="Creator">
    <vt:lpwstr>Numbers</vt:lpwstr>
  </property>
  <property fmtid="{D5CDD505-2E9C-101B-9397-08002B2CF9AE}" pid="4" name="LastSaved">
    <vt:filetime>2025-05-19T00:00:00Z</vt:filetime>
  </property>
</Properties>
</file>