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35" w:rsidRDefault="00107083">
      <w:pPr>
        <w:pStyle w:val="Zkladntext40"/>
      </w:pPr>
      <w:bookmarkStart w:id="0" w:name="_GoBack"/>
      <w:bookmarkEnd w:id="0"/>
      <w:r>
        <w:rPr>
          <w:rStyle w:val="Zkladntext4"/>
        </w:rPr>
        <w:t>2025003724</w:t>
      </w:r>
    </w:p>
    <w:p w:rsidR="00726835" w:rsidRDefault="00107083">
      <w:pPr>
        <w:pStyle w:val="Nadpis40"/>
        <w:keepNext/>
        <w:keepLines/>
        <w:pBdr>
          <w:bottom w:val="single" w:sz="4" w:space="0" w:color="auto"/>
        </w:pBdr>
      </w:pPr>
      <w:bookmarkStart w:id="1" w:name="bookmark6"/>
      <w:r>
        <w:rPr>
          <w:rStyle w:val="Nadpis4"/>
          <w:b/>
          <w:bCs/>
        </w:rPr>
        <w:t>SMLOUVA O DÍLO</w:t>
      </w:r>
      <w:bookmarkEnd w:id="1"/>
    </w:p>
    <w:p w:rsidR="00726835" w:rsidRDefault="00107083">
      <w:pPr>
        <w:pStyle w:val="Zkladntext1"/>
        <w:spacing w:after="440" w:line="269" w:lineRule="auto"/>
        <w:ind w:left="2020" w:hanging="1300"/>
        <w:jc w:val="both"/>
      </w:pPr>
      <w:r>
        <w:rPr>
          <w:rStyle w:val="Zkladntext"/>
        </w:rPr>
        <w:t>uzavřená v souladu s ustanovením § 2586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187"/>
      </w:tblGrid>
      <w:tr w:rsidR="0072683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Jméno: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 w:line="290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Kamenice 798/1 d, 625 00 Brno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MUDr. Hana Albrechtová, ředitelka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 w:line="286" w:lineRule="auto"/>
            </w:pPr>
            <w:r>
              <w:rPr>
                <w:rStyle w:val="Jin"/>
              </w:rPr>
              <w:t>Kontaktní osoba: IČO: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 w:line="290" w:lineRule="auto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pacing w:val="5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  <w:r>
              <w:rPr>
                <w:rStyle w:val="Jin"/>
              </w:rPr>
              <w:t xml:space="preserve"> 00346292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6187" w:type="dxa"/>
            <w:shd w:val="clear" w:color="auto" w:fill="auto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 xml:space="preserve">Krajský </w:t>
            </w:r>
            <w:r>
              <w:rPr>
                <w:rStyle w:val="Jin"/>
              </w:rPr>
              <w:t xml:space="preserve">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7" w:type="dxa"/>
            <w:shd w:val="clear" w:color="auto" w:fill="auto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726835" w:rsidRDefault="00107083">
      <w:pPr>
        <w:pStyle w:val="Titulektabulky0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</w:rPr>
        <w:t>„objednáte?</w:t>
      </w:r>
    </w:p>
    <w:p w:rsidR="00726835" w:rsidRDefault="00726835">
      <w:pPr>
        <w:spacing w:after="279" w:line="1" w:lineRule="exact"/>
      </w:pPr>
    </w:p>
    <w:p w:rsidR="00726835" w:rsidRDefault="007268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182"/>
      </w:tblGrid>
      <w:tr w:rsidR="00726835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220"/>
            </w:pPr>
            <w:r>
              <w:rPr>
                <w:rStyle w:val="Jin"/>
              </w:rPr>
              <w:t>a</w:t>
            </w:r>
          </w:p>
          <w:p w:rsidR="00726835" w:rsidRDefault="00107083">
            <w:pPr>
              <w:pStyle w:val="Jin0"/>
              <w:spacing w:after="40"/>
              <w:jc w:val="both"/>
            </w:pPr>
            <w:r>
              <w:rPr>
                <w:rStyle w:val="Jin"/>
              </w:rPr>
              <w:t>Jméno:</w:t>
            </w:r>
          </w:p>
          <w:p w:rsidR="00726835" w:rsidRDefault="00107083">
            <w:pPr>
              <w:pStyle w:val="Jin0"/>
              <w:jc w:val="both"/>
            </w:pPr>
            <w:r>
              <w:rPr>
                <w:rStyle w:val="Jin"/>
              </w:rPr>
              <w:t>Sídlo: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SMART PROJEKT s.r.o.</w:t>
            </w:r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Lanžhotská 3448/2, Břeclav 690 02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659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Jednající:</w:t>
            </w:r>
          </w:p>
        </w:tc>
        <w:tc>
          <w:tcPr>
            <w:tcW w:w="6182" w:type="dxa"/>
            <w:shd w:val="clear" w:color="auto" w:fill="auto"/>
            <w:vAlign w:val="bottom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Ing. Libor Stránský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Kontaktní osoba:</w:t>
            </w:r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6182" w:type="dxa"/>
            <w:shd w:val="clear" w:color="auto" w:fill="auto"/>
          </w:tcPr>
          <w:p w:rsidR="00726835" w:rsidRDefault="00107083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proofErr w:type="gramEnd"/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05377269</w:t>
            </w:r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CZ05377269</w:t>
            </w:r>
          </w:p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C 95002 vedená u Krajského soudu v Brně</w:t>
            </w:r>
          </w:p>
        </w:tc>
      </w:tr>
      <w:tr w:rsidR="00726835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659" w:type="dxa"/>
            <w:shd w:val="clear" w:color="auto" w:fill="auto"/>
          </w:tcPr>
          <w:p w:rsidR="00726835" w:rsidRDefault="00107083">
            <w:pPr>
              <w:pStyle w:val="Jin0"/>
              <w:spacing w:after="0"/>
              <w:jc w:val="both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82" w:type="dxa"/>
            <w:shd w:val="clear" w:color="auto" w:fill="auto"/>
          </w:tcPr>
          <w:p w:rsidR="00726835" w:rsidRDefault="00107083">
            <w:pPr>
              <w:pStyle w:val="Jin0"/>
              <w:spacing w:after="0"/>
            </w:pPr>
            <w:r>
              <w:rPr>
                <w:rStyle w:val="Jin"/>
              </w:rPr>
              <w:t>5896958002/5500 (</w:t>
            </w:r>
            <w:proofErr w:type="spellStart"/>
            <w:r>
              <w:rPr>
                <w:rStyle w:val="Jin"/>
              </w:rPr>
              <w:t>Raiffeisenbank</w:t>
            </w:r>
            <w:proofErr w:type="spellEnd"/>
            <w:r>
              <w:rPr>
                <w:rStyle w:val="Jin"/>
              </w:rPr>
              <w:t xml:space="preserve"> a.s.)</w:t>
            </w:r>
          </w:p>
        </w:tc>
      </w:tr>
    </w:tbl>
    <w:p w:rsidR="00726835" w:rsidRDefault="00107083">
      <w:pPr>
        <w:pStyle w:val="Titulektabulky0"/>
        <w:ind w:left="5"/>
      </w:pPr>
      <w:r>
        <w:rPr>
          <w:rStyle w:val="Titulektabulky"/>
          <w:sz w:val="19"/>
          <w:szCs w:val="19"/>
        </w:rPr>
        <w:t xml:space="preserve">(dále jen </w:t>
      </w:r>
      <w:r>
        <w:rPr>
          <w:rStyle w:val="Titulektabulky"/>
          <w:b/>
          <w:bCs/>
          <w:i/>
          <w:iCs/>
        </w:rPr>
        <w:t>„zhotovíte?</w:t>
      </w:r>
    </w:p>
    <w:p w:rsidR="00726835" w:rsidRDefault="00726835">
      <w:pPr>
        <w:spacing w:after="859" w:line="1" w:lineRule="exact"/>
      </w:pP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40" w:hanging="540"/>
        <w:jc w:val="both"/>
      </w:pPr>
      <w:r>
        <w:rPr>
          <w:rStyle w:val="Zkladntext"/>
        </w:rPr>
        <w:t xml:space="preserve">Zhotovitel se zavazuje, že pro objednatele provede dílo, </w:t>
      </w:r>
      <w:r>
        <w:rPr>
          <w:rStyle w:val="Zkladntext"/>
        </w:rPr>
        <w:t xml:space="preserve">spočívající ve zhotovení projektové dokumentace pro provedení rekonstrukce výjezdové základny objednatele v Blansku, </w:t>
      </w:r>
      <w:proofErr w:type="gramStart"/>
      <w:r>
        <w:rPr>
          <w:rStyle w:val="Zkladntext"/>
        </w:rPr>
        <w:t>K.H.</w:t>
      </w:r>
      <w:proofErr w:type="gramEnd"/>
      <w:r>
        <w:rPr>
          <w:rStyle w:val="Zkladntext"/>
        </w:rPr>
        <w:t xml:space="preserve"> Máchy 17, a to dle písemného zadání stavby, které jsou jako příloha č. 1 a příloha č. 2 nedílnou součástí této smlouvy.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0"/>
        <w:jc w:val="both"/>
      </w:pPr>
      <w:r>
        <w:rPr>
          <w:rStyle w:val="Zkladntext"/>
        </w:rPr>
        <w:t xml:space="preserve">Součástí díla </w:t>
      </w:r>
      <w:r>
        <w:rPr>
          <w:rStyle w:val="Zkladntext"/>
        </w:rPr>
        <w:t>podle čl. 1 této smlouvy je také:</w:t>
      </w:r>
    </w:p>
    <w:p w:rsidR="00726835" w:rsidRDefault="00107083">
      <w:pPr>
        <w:pStyle w:val="Zkladntext1"/>
        <w:numPr>
          <w:ilvl w:val="0"/>
          <w:numId w:val="2"/>
        </w:numPr>
        <w:tabs>
          <w:tab w:val="left" w:pos="886"/>
        </w:tabs>
        <w:spacing w:after="0"/>
        <w:ind w:firstLine="540"/>
        <w:jc w:val="both"/>
      </w:pPr>
      <w:r>
        <w:rPr>
          <w:rStyle w:val="Zkladntext"/>
        </w:rPr>
        <w:t>zaměření stávajícího stavu,</w:t>
      </w:r>
    </w:p>
    <w:p w:rsidR="00726835" w:rsidRDefault="00107083">
      <w:pPr>
        <w:pStyle w:val="Zkladntext1"/>
        <w:numPr>
          <w:ilvl w:val="0"/>
          <w:numId w:val="2"/>
        </w:numPr>
        <w:tabs>
          <w:tab w:val="left" w:pos="886"/>
        </w:tabs>
        <w:spacing w:after="0"/>
        <w:ind w:firstLine="540"/>
        <w:jc w:val="both"/>
      </w:pPr>
      <w:r>
        <w:rPr>
          <w:rStyle w:val="Zkladntext"/>
        </w:rPr>
        <w:t>výkaz výměr s položkovým rozpočtem, a</w:t>
      </w:r>
    </w:p>
    <w:p w:rsidR="00726835" w:rsidRDefault="00107083">
      <w:pPr>
        <w:pStyle w:val="Zkladntext1"/>
        <w:numPr>
          <w:ilvl w:val="0"/>
          <w:numId w:val="2"/>
        </w:numPr>
        <w:tabs>
          <w:tab w:val="left" w:pos="886"/>
        </w:tabs>
        <w:spacing w:after="220"/>
        <w:ind w:firstLine="540"/>
        <w:jc w:val="both"/>
      </w:pPr>
      <w:r>
        <w:rPr>
          <w:rStyle w:val="Zkladntext"/>
        </w:rPr>
        <w:t>konzultační činnost.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40" w:hanging="540"/>
        <w:jc w:val="both"/>
      </w:pPr>
      <w:r>
        <w:rPr>
          <w:rStyle w:val="Zkladntext"/>
        </w:rPr>
        <w:t>Součástí díla podle čl. 1 není obstarání vyjádření a stanovisek dotčených orgánů státní správy, vyřízení územního a stavebního povolení</w:t>
      </w:r>
      <w:r>
        <w:rPr>
          <w:rStyle w:val="Zkladntext"/>
        </w:rPr>
        <w:t>, historický a stavebně technický průzkum, inženýrsko- geologický průzkum a autorský a technický dozor.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40" w:hanging="540"/>
        <w:jc w:val="both"/>
      </w:pPr>
      <w:r>
        <w:rPr>
          <w:rStyle w:val="Zkladntext"/>
        </w:rPr>
        <w:t xml:space="preserve">Zhotovitel se zavazuje provést dílo podle čl. 1 ve lhůtě nejpozději do </w:t>
      </w:r>
      <w:r>
        <w:rPr>
          <w:rStyle w:val="Zkladntext"/>
          <w:b/>
          <w:bCs/>
        </w:rPr>
        <w:t xml:space="preserve">23. 12. 2025. </w:t>
      </w:r>
      <w:r>
        <w:rPr>
          <w:rStyle w:val="Zkladntext"/>
        </w:rPr>
        <w:t>Místem splnění závazku zhotovitele k provedení díla podle čl. 1 tét</w:t>
      </w:r>
      <w:r>
        <w:rPr>
          <w:rStyle w:val="Zkladntext"/>
        </w:rPr>
        <w:t>o smlouvy je přitom sídlo objednatele dle záhlaví této smlouvy.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40" w:hanging="540"/>
        <w:jc w:val="both"/>
      </w:pPr>
      <w:r>
        <w:rPr>
          <w:rStyle w:val="Zkladntext"/>
        </w:rPr>
        <w:t xml:space="preserve">Zhotovitel se zavazuje postupovat při provádění díla podle čl. 1 této smlouvy podle této smlouvy, podle příslušných právních, technických a hygienických norem, podle průběžných pokynů </w:t>
      </w:r>
      <w:r>
        <w:rPr>
          <w:rStyle w:val="Zkladntext"/>
        </w:rPr>
        <w:t>objednatele a s náležitou odbornou péčí. Za tímto účelem se zhotovitel zavazuje umožňovat objednateli průběžnou kontrolu provádění díla, a to způsobem a v rozsahu dle pokynů objednatele.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Závazek zhotovitele k provedení díla podle čl. 1 této smlouvy se pova</w:t>
      </w:r>
      <w:r>
        <w:rPr>
          <w:rStyle w:val="Zkladntext"/>
        </w:rPr>
        <w:t>žuje za splněný odevzdáním díla do rukou objednatele, a to v písemné a elektronické formě dle přílohy č. 1 této smlouvy (bod 22). O tomto předání a převzetí díla bude pořízen písemný předávací protokol, potvrzený oběma stranami. Objednatel není povinen pot</w:t>
      </w:r>
      <w:r>
        <w:rPr>
          <w:rStyle w:val="Zkladntext"/>
        </w:rPr>
        <w:t>vrdit zhotoviteli převzetí díla nebo jeho části, zjistí-li se na něm jakákoliv vada.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lastRenderedPageBreak/>
        <w:t>Nebezpečí škody na díle podle čl. 1 této smlouvy a vlastnické právo k tomuto dílu přechází ze zhotovitele na objednatele dnem splnění závazku zhotovitele k provedení tohot</w:t>
      </w:r>
      <w:r>
        <w:rPr>
          <w:rStyle w:val="Zkladntext"/>
        </w:rPr>
        <w:t xml:space="preserve">o díla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čl.</w:t>
      </w:r>
      <w:proofErr w:type="gramEnd"/>
      <w:r>
        <w:rPr>
          <w:rStyle w:val="Zkladntext"/>
        </w:rPr>
        <w:t xml:space="preserve"> 6 této smlouvy. Tímto dnem se také zřizuje ve prospěch objednatele časově neomezená uživatelská licence k těm částem díla, které mají povahu autorského díla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 odst. 2 zákona č. 121/2000 Sb. </w:t>
      </w:r>
      <w:r>
        <w:rPr>
          <w:rStyle w:val="Zkladntext"/>
          <w:i/>
          <w:iCs/>
        </w:rPr>
        <w:t>zákon o právu autorském</w:t>
      </w:r>
      <w:r>
        <w:rPr>
          <w:rStyle w:val="Zkladntext"/>
          <w:i/>
          <w:iCs/>
        </w:rPr>
        <w:t>, o právech souvisejících s právem autorským a o změně některých zákonů</w:t>
      </w:r>
      <w:r>
        <w:rPr>
          <w:rStyle w:val="Zkladntext"/>
        </w:rPr>
        <w:t xml:space="preserve"> (autorský zákon), ve znění pozdější předpisů.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Pro případ prodlení se splněním svého závazku podle čl. 1 této smlouvy ve lhůtě podle čl. 4 této smlouvy se zhotovitel zavazuje zaplatit o</w:t>
      </w:r>
      <w:r>
        <w:rPr>
          <w:rStyle w:val="Zkladntext"/>
        </w:rPr>
        <w:t>bjednateli smluvní pokutu ve výši 0,1 % z celkové ceny díla podle čl. 9 této smlouvy za každý započatý den prodlení. Zaplacením této smluvní pokuty není dotčen nárok objednatele na případnou náhradu škody v plné výši.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Objednatel se zavazuje zaplatit zhotov</w:t>
      </w:r>
      <w:r>
        <w:rPr>
          <w:rStyle w:val="Zkladntext"/>
        </w:rPr>
        <w:t xml:space="preserve">iteli za dílo podle čl. 1 této smlouvy cenu díla ve výši </w:t>
      </w:r>
      <w:r>
        <w:rPr>
          <w:rStyle w:val="Zkladntext"/>
          <w:b/>
          <w:bCs/>
        </w:rPr>
        <w:t xml:space="preserve">1.979.000,- Kč bez DPH, </w:t>
      </w:r>
      <w:r>
        <w:rPr>
          <w:rStyle w:val="Zkladntext"/>
        </w:rPr>
        <w:t xml:space="preserve">tj. </w:t>
      </w:r>
      <w:r>
        <w:rPr>
          <w:rStyle w:val="Zkladntext"/>
          <w:b/>
          <w:bCs/>
        </w:rPr>
        <w:t xml:space="preserve">2.394.590,- Kč vč. DPH </w:t>
      </w:r>
      <w:r>
        <w:rPr>
          <w:rStyle w:val="Zkladntext"/>
        </w:rPr>
        <w:t>s tím, že součástí této ceny jsou veškeré náklady zhotovitele, spojené s plněním závazku zhotovitele podle čl. 1 této smlouvy, včetně odměny za posk</w:t>
      </w:r>
      <w:r>
        <w:rPr>
          <w:rStyle w:val="Zkladntext"/>
        </w:rPr>
        <w:t>ytnutí licence a daně z přidané hodnoty.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 xml:space="preserve">Cena díla podle čl. 9 této smlouvy je splatná po splnění závazku zhotovitele k provedení díla způsobem podle čl. 6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dnů od předložení jejího písemného vyúčtování (faktury). Faktura bude</w:t>
      </w:r>
      <w:r>
        <w:rPr>
          <w:rStyle w:val="Zkladntext"/>
        </w:rPr>
        <w:t xml:space="preserve">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color w:val="7FA1D8"/>
          <w:lang w:val="en-US" w:eastAsia="en-US" w:bidi="en-US"/>
        </w:rPr>
        <w:t xml:space="preserve">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P25V00000039. </w:t>
      </w:r>
      <w:r>
        <w:rPr>
          <w:rStyle w:val="Zkladntext"/>
        </w:rPr>
        <w:t xml:space="preserve">Součástí faktury bude rovněž kopie </w:t>
      </w:r>
      <w:r>
        <w:rPr>
          <w:rStyle w:val="Zkladntext"/>
        </w:rPr>
        <w:t xml:space="preserve">podepsaného předávacího protokolu dle čl. 6 této smlouvy. Nebude-li faktura splňovat veškeré náležitosti daňového dokladu podle zákona a další náležitosti podle této smlouvy, je objednatel oprávněn vrátit takovou fakturu zhotoviteli k opravě, přičemž doba </w:t>
      </w:r>
      <w:r>
        <w:rPr>
          <w:rStyle w:val="Zkladntext"/>
        </w:rPr>
        <w:t>její splatnosti začne znovu celá běžet ode dne doručení opravené faktury objednateli.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Pro případ prodlení s úhradou ceny díla ve lhůtě podle čl. 10 této smlouvy se objednatel zavazuje zaplatit zhotoviteli úrok z prodlení v sazbě dle zákona.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Zhotovitel odpo</w:t>
      </w:r>
      <w:r>
        <w:rPr>
          <w:rStyle w:val="Zkladntext"/>
        </w:rPr>
        <w:t xml:space="preserve">vídá objednateli za to, že dílo podle čl. 1 této smlouvy bude odpovídat tuzemským technickým, hygienickým a jiným normám, a že bude mít ty vlastnosti, které jsou u děl tohoto druhu obvyklé. V tomto smyslu se zhotovitel zavazuje bezplatně odstraňovat vady, </w:t>
      </w:r>
      <w:r>
        <w:rPr>
          <w:rStyle w:val="Zkladntext"/>
        </w:rPr>
        <w:t>které se na dílo podle čl. 1 této smlouvy vyskytnou, a to po celou dobu, po kterou to bude mít pro objednatele nějaký ekonomický či jiný praktický význam.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Zhotovitel se zavazuje rozhodovat o písemných reklamacích objednatelů v období po dokončení díla píse</w:t>
      </w:r>
      <w:r>
        <w:rPr>
          <w:rStyle w:val="Zkladntext"/>
        </w:rPr>
        <w:t xml:space="preserve">mně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jejich doručení, a ve stejné lhůtě provést odstranění vad z oprávněných reklamací, nebude-li mezi oběma stranami v jednotlivém případě dohodnuto jinak.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 xml:space="preserve">Pro případ sporu o oprávněnost reklamace se objednateli vyhrazuje právo </w:t>
      </w:r>
      <w:r>
        <w:rPr>
          <w:rStyle w:val="Zkladntext"/>
        </w:rPr>
        <w:t>nechat vyhotovit k prověření jakosti díla soudně znalecký posudek, jehož výroku se obě strany zavazují podřizovat s tím, že náklady na vyhotovení tohoto posudku se zavazuje nést ten účastník sporu, kterému tento posudek nedal zapravdu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 w:line="252" w:lineRule="auto"/>
        <w:ind w:left="520" w:hanging="520"/>
        <w:jc w:val="both"/>
      </w:pPr>
      <w:r>
        <w:rPr>
          <w:rStyle w:val="Zkladntext"/>
        </w:rPr>
        <w:t>Pro případ prodlení z</w:t>
      </w:r>
      <w:r>
        <w:rPr>
          <w:rStyle w:val="Zkladntext"/>
        </w:rPr>
        <w:t>hotovitele s odstraněním vady díla ve lhůtě podle čl. 13 této smlouvy, se zhotovitel zavazuje zaplatit objednateli smluvní pokutu ve výši 1 000,- Kč za každý započatý den prodlení.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Nepřikročí-li zhotovitel k odstranění vady ve lhůtě podle čl. 13 této smlou</w:t>
      </w:r>
      <w:r>
        <w:rPr>
          <w:rStyle w:val="Zkladntext"/>
        </w:rPr>
        <w:t>vy nebo v něm z důvodů na své straně nepokračuje, a to ani po písemné výzvě objednatele, je objednatel oprávněn nechat provést toto odstranění třetí osobou na náklad zhotovitele.</w:t>
      </w:r>
      <w:r>
        <w:br w:type="page"/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lastRenderedPageBreak/>
        <w:t xml:space="preserve">Objednatel je oprávněn odstoupit od této smlouvy o dílo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, bu</w:t>
      </w:r>
      <w:r>
        <w:rPr>
          <w:rStyle w:val="Zkladntext"/>
        </w:rPr>
        <w:t>de-li zhotovitel v prodlení se splněním svého závazku podle čl. 1 této smlouvy ve lhůtě podle čl. 4 této smlouvy o víc, než 1 měsíc.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 w:line="252" w:lineRule="auto"/>
        <w:ind w:left="520" w:hanging="520"/>
        <w:jc w:val="both"/>
      </w:pPr>
      <w:r>
        <w:rPr>
          <w:rStyle w:val="Zkladntext"/>
        </w:rPr>
        <w:t>Zhotovitel je oprávněn odstoupit od této smlouvy, bude-li objednatel v prodlení se splněním jeho uhrazovací povinnosti podl</w:t>
      </w:r>
      <w:r>
        <w:rPr>
          <w:rStyle w:val="Zkladntext"/>
        </w:rPr>
        <w:t>e této smlouvy o víc, než jeden měsíc.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 xml:space="preserve">Není-li touto smlouvou ujednáno jinak, řídí se vzájemný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až 2635 občanského zákoníku.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Zhotovitel uděluje objednateli svůj výslovný souhlas se zveřejněním podmín</w:t>
      </w:r>
      <w:r>
        <w:rPr>
          <w:rStyle w:val="Zkladntext"/>
        </w:rPr>
        <w:t xml:space="preserve">ek této smlouvy v rozsahu a za podmínek vyplývajících z příslušných právních předpisů (zejména zákona č. 106/1999 Sb., o </w:t>
      </w:r>
      <w:r>
        <w:rPr>
          <w:rStyle w:val="Zkladntext"/>
          <w:i/>
          <w:iCs/>
        </w:rPr>
        <w:t>svobodném přístupu k informacím,</w:t>
      </w:r>
      <w:r>
        <w:rPr>
          <w:rStyle w:val="Zkladntext"/>
        </w:rPr>
        <w:t xml:space="preserve"> v platném znění).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ind w:left="520" w:hanging="520"/>
        <w:jc w:val="both"/>
      </w:pPr>
      <w:r>
        <w:rPr>
          <w:rStyle w:val="Zkladntext"/>
        </w:rPr>
        <w:t>Tato smlouva se uzavírá na základě návrhu na její uzavření ze strany objednatele. Př</w:t>
      </w:r>
      <w:r>
        <w:rPr>
          <w:rStyle w:val="Zkladntext"/>
        </w:rPr>
        <w:t>edpokladem uzavření této smlouvy je její písemná forma a dohoda o celém jejím obsahu jak je obsažen v jejích článcích 1 až 24. Objednatel přitom předem vylučuje přijetí tohoto návrhu s dodatkem nebo odchylkou ve smyslu § 1740 odst. 3 občanského zákoníku.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220"/>
        <w:jc w:val="both"/>
      </w:pPr>
      <w:r>
        <w:rPr>
          <w:rStyle w:val="Zkladntext"/>
        </w:rPr>
        <w:t>T</w:t>
      </w:r>
      <w:r>
        <w:rPr>
          <w:rStyle w:val="Zkladntext"/>
        </w:rPr>
        <w:t>uto smlouvu lze změnit nebo zrušit pouze jinou písemnou dohodu obou smluvních stran.</w:t>
      </w:r>
    </w:p>
    <w:p w:rsidR="00726835" w:rsidRDefault="00107083">
      <w:pPr>
        <w:pStyle w:val="Zkladntext1"/>
        <w:spacing w:after="220"/>
        <w:ind w:left="520" w:firstLine="20"/>
        <w:jc w:val="both"/>
      </w:pPr>
      <w:r>
        <w:rPr>
          <w:rStyle w:val="Zkladntext"/>
        </w:rPr>
        <w:t xml:space="preserve">Tato smlouva nabývá platnosti dnem jejího uzavření a účinnosti dnem jejího uveřejnění v registru smluv podle příslušných ustanovení zákona č. 340/2015 Sb. </w:t>
      </w:r>
      <w:r>
        <w:rPr>
          <w:rStyle w:val="Zkladntext"/>
          <w:i/>
          <w:iCs/>
        </w:rPr>
        <w:t xml:space="preserve">zákon o </w:t>
      </w:r>
      <w:r>
        <w:rPr>
          <w:rStyle w:val="Zkladntext"/>
          <w:i/>
          <w:iCs/>
        </w:rPr>
        <w:t>zvláštních podmínkách účinnosti některých smluv, uveřejňování těchto smluv a o registru smluv (zákon o registru smluv).</w:t>
      </w:r>
      <w:r>
        <w:rPr>
          <w:rStyle w:val="Zkladntext"/>
        </w:rPr>
        <w:t xml:space="preserve"> Smluvní strany se dohodly, že uveřejnění smlouvy zajistí objednatel.</w:t>
      </w:r>
    </w:p>
    <w:p w:rsidR="00726835" w:rsidRDefault="00107083">
      <w:pPr>
        <w:pStyle w:val="Zkladntext1"/>
        <w:numPr>
          <w:ilvl w:val="0"/>
          <w:numId w:val="1"/>
        </w:numPr>
        <w:tabs>
          <w:tab w:val="left" w:pos="542"/>
        </w:tabs>
        <w:spacing w:after="0"/>
        <w:ind w:left="520" w:hanging="520"/>
        <w:jc w:val="both"/>
      </w:pPr>
      <w:r>
        <w:rPr>
          <w:rStyle w:val="Zkladntext"/>
        </w:rPr>
        <w:t>Tato smlouva se vyhotovuje ve dvou stejnopisech s platností originá</w:t>
      </w:r>
      <w:r>
        <w:rPr>
          <w:rStyle w:val="Zkladntext"/>
        </w:rPr>
        <w:t>lu, z nichž každá ze smluvních stran obdrží jedno vyhotovení. V případě, že je tato smlouva uzavřena elektronickými prostředky, obdrží každá smluvní strana jeden identický elektronický soubor.</w:t>
      </w:r>
    </w:p>
    <w:p w:rsidR="00726835" w:rsidRDefault="0010708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93700" distB="6350" distL="0" distR="0" simplePos="0" relativeHeight="125829378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393700</wp:posOffset>
                </wp:positionV>
                <wp:extent cx="1718945" cy="1492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1"/>
                              <w:tabs>
                                <w:tab w:val="left" w:leader="dot" w:pos="2664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950000000000003pt;margin-top:31.pt;width:135.34999999999999pt;height:11.75pt;z-index:-125829375;mso-wrap-distance-left:0;mso-wrap-distance-top:31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6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393700</wp:posOffset>
                </wp:positionV>
                <wp:extent cx="1676400" cy="1555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 xml:space="preserve"> Břeclavi dne vizte el.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podpis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7.69999999999999pt;margin-top:31.pt;width:132.pt;height:12.25pt;z-index:-125829373;mso-wrap-distance-left:0;mso-wrap-distance-top:3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i/>
                          <w:iCs/>
                        </w:rPr>
                        <w:t>V</w:t>
                      </w:r>
                      <w:r>
                        <w:rPr>
                          <w:rStyle w:val="CharStyle3"/>
                        </w:rPr>
                        <w:t xml:space="preserve"> Břeclavi dne vizte el.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6835" w:rsidRDefault="0010708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21640" distB="0" distL="0" distR="0" simplePos="0" relativeHeight="125829382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421640</wp:posOffset>
                </wp:positionV>
                <wp:extent cx="2094230" cy="4876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^/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Irar^ci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</w:rPr>
                              <w:t>Digitálně podepsal MUDr.</w:t>
                            </w:r>
                          </w:p>
                          <w:p w:rsidR="00726835" w:rsidRDefault="00107083">
                            <w:pPr>
                              <w:pStyle w:val="Zkladntext20"/>
                              <w:spacing w:after="40" w:line="180" w:lineRule="auto"/>
                            </w:pP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Iviuur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>nand</w:t>
                            </w:r>
                            <w:proofErr w:type="spellEnd"/>
                            <w:r>
                              <w:rPr>
                                <w:rStyle w:val="Zkladntext2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</w:rPr>
                              <w:t>Hana Albrechtová</w:t>
                            </w:r>
                          </w:p>
                          <w:p w:rsidR="00726835" w:rsidRDefault="00107083">
                            <w:pPr>
                              <w:pStyle w:val="Nadpis30"/>
                              <w:keepNext/>
                              <w:keepLines/>
                            </w:pPr>
                            <w:bookmarkStart w:id="2" w:name="bookmark0"/>
                            <w:r>
                              <w:rPr>
                                <w:rStyle w:val="Nadpis3"/>
                              </w:rPr>
                              <w:t xml:space="preserve">Albrechtová </w:t>
                            </w:r>
                            <w:r>
                              <w:rPr>
                                <w:rStyle w:val="Nadpis3"/>
                                <w:vertAlign w:val="superscript"/>
                              </w:rPr>
                              <w:t>6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150000000000006pt;margin-top:33.200000000000003pt;width:164.90000000000001pt;height:38.399999999999999pt;z-index:-125829371;mso-wrap-distance-left:0;mso-wrap-distance-top:33.2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^/ll IHr </w:t>
                      </w: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  <w:u w:val="single"/>
                        </w:rPr>
                        <w:t>I</w:t>
                      </w: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 Irar^ci </w:t>
                      </w:r>
                      <w:r>
                        <w:rPr>
                          <w:rStyle w:val="CharStyle6"/>
                        </w:rPr>
                        <w:t>Digitálně podepsal MUDr.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Iviuur. nand </w:t>
                      </w:r>
                      <w:r>
                        <w:rPr>
                          <w:rStyle w:val="CharStyle6"/>
                        </w:rPr>
                        <w:t>Hana Albrechtová</w:t>
                      </w:r>
                    </w:p>
                    <w:p>
                      <w:pPr>
                        <w:pStyle w:val="Style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0"/>
                        </w:rPr>
                        <w:t xml:space="preserve">Albrechtová </w:t>
                      </w:r>
                      <w:r>
                        <w:rPr>
                          <w:rStyle w:val="CharStyle10"/>
                          <w:vertAlign w:val="superscript"/>
                        </w:rPr>
                        <w:t>6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7800" distB="30480" distL="0" distR="0" simplePos="0" relativeHeight="125829384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177800</wp:posOffset>
                </wp:positionV>
                <wp:extent cx="2389505" cy="7010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30"/>
                              <w:tabs>
                                <w:tab w:val="left" w:pos="1896"/>
                              </w:tabs>
                            </w:pPr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lna I </w:t>
                            </w:r>
                            <w:proofErr w:type="spellStart"/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ihnr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Di</w:t>
                            </w:r>
                            <w:r>
                              <w:rPr>
                                <w:rStyle w:val="Zkladntext3"/>
                              </w:rPr>
                              <w:t>g'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tá|ně</w:t>
                            </w:r>
                            <w:r>
                              <w:rPr>
                                <w:rStyle w:val="Zkladntext3"/>
                              </w:rPr>
                              <w:t>p°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rStyle w:val="Zkladntext3"/>
                              </w:rPr>
                              <w:t>P</w:t>
                            </w:r>
                            <w:r>
                              <w:rPr>
                                <w:rStyle w:val="Zkladntext3"/>
                                <w:vertAlign w:val="superscript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Style w:val="Zkladntext3"/>
                                <w:vertAlign w:val="superscript"/>
                              </w:rPr>
                              <w:t xml:space="preserve">| </w:t>
                            </w:r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*' y*</w:t>
                            </w:r>
                            <w:r>
                              <w:rPr>
                                <w:rStyle w:val="Zkladntext3"/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Style w:val="Zkladntext3"/>
                              </w:rPr>
                              <w:t>Ing. Libor Stránský</w:t>
                            </w:r>
                          </w:p>
                          <w:p w:rsidR="00726835" w:rsidRDefault="00107083">
                            <w:pPr>
                              <w:pStyle w:val="Nadpis20"/>
                              <w:keepNext/>
                              <w:keepLines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bookmark2"/>
                            <w:proofErr w:type="spellStart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Ctrándrw</w:t>
                            </w:r>
                            <w:proofErr w:type="spellEnd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vertAlign w:val="superscript"/>
                              </w:rPr>
                              <w:t>Datum:2025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vertAlign w:val="superscript"/>
                              </w:rPr>
                              <w:t>05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Style w:val="Nadpis2"/>
                                <w:b/>
                                <w:bCs/>
                                <w:vertAlign w:val="superscript"/>
                              </w:rPr>
                              <w:t xml:space="preserve">13 </w:t>
                            </w:r>
                            <w:proofErr w:type="spellStart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DudllbKy</w:t>
                            </w:r>
                            <w:proofErr w:type="spellEnd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Nadpis2"/>
                                <w:rFonts w:ascii="Segoe UI" w:eastAsia="Segoe UI" w:hAnsi="Segoe UI" w:cs="Segoe UI"/>
                                <w:sz w:val="20"/>
                                <w:szCs w:val="20"/>
                              </w:rPr>
                              <w:t>09:42:01 +02'00'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0000000000002pt;margin-top:14.pt;width:188.15000000000001pt;height:55.200000000000003pt;z-index:-125829369;mso-wrap-distance-left:0;mso-wrap-distance-top:14.pt;mso-wrap-distance-right:0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96" w:val="left"/>
                        </w:tabs>
                        <w:bidi w:val="0"/>
                        <w:spacing w:before="0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lna I ihnr</w:t>
                      </w:r>
                      <w:r>
                        <w:rPr>
                          <w:rStyle w:val="CharStyle12"/>
                          <w:vertAlign w:val="superscript"/>
                        </w:rPr>
                        <w:t>Di</w:t>
                      </w:r>
                      <w:r>
                        <w:rPr>
                          <w:rStyle w:val="CharStyle12"/>
                        </w:rPr>
                        <w:t>g'</w:t>
                      </w:r>
                      <w:r>
                        <w:rPr>
                          <w:rStyle w:val="CharStyle12"/>
                          <w:vertAlign w:val="superscript"/>
                        </w:rPr>
                        <w:t>tá|ně</w:t>
                      </w:r>
                      <w:r>
                        <w:rPr>
                          <w:rStyle w:val="CharStyle12"/>
                        </w:rPr>
                        <w:t>p°</w:t>
                      </w:r>
                      <w:r>
                        <w:rPr>
                          <w:rStyle w:val="CharStyle12"/>
                          <w:vertAlign w:val="superscript"/>
                        </w:rPr>
                        <w:t>de</w:t>
                      </w:r>
                      <w:r>
                        <w:rPr>
                          <w:rStyle w:val="CharStyle12"/>
                        </w:rPr>
                        <w:t>P</w:t>
                      </w:r>
                      <w:r>
                        <w:rPr>
                          <w:rStyle w:val="CharStyle12"/>
                          <w:vertAlign w:val="superscript"/>
                        </w:rPr>
                        <w:t xml:space="preserve">sa| </w:t>
                      </w:r>
                      <w:r>
                        <w:rPr>
                          <w:rStyle w:val="CharStyle12"/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*' y*</w:t>
                        <w:tab/>
                      </w:r>
                      <w:r>
                        <w:rPr>
                          <w:rStyle w:val="CharStyle12"/>
                        </w:rPr>
                        <w:t>Ing. Libor Stránský</w:t>
                      </w:r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2" w:name="bookmark2"/>
                      <w:r>
                        <w:rPr>
                          <w:rStyle w:val="CharStyle15"/>
                          <w:b/>
                          <w:bCs/>
                        </w:rPr>
                        <w:t xml:space="preserve">Ctrándrw </w:t>
                      </w:r>
                      <w:r>
                        <w:rPr>
                          <w:rStyle w:val="CharStyle15"/>
                          <w:b/>
                          <w:bCs/>
                          <w:vertAlign w:val="superscript"/>
                        </w:rPr>
                        <w:t>Datum:2025</w:t>
                      </w:r>
                      <w:r>
                        <w:rPr>
                          <w:rStyle w:val="CharStyle15"/>
                          <w:b/>
                          <w:bCs/>
                        </w:rPr>
                        <w:t>-</w:t>
                      </w:r>
                      <w:r>
                        <w:rPr>
                          <w:rStyle w:val="CharStyle15"/>
                          <w:b/>
                          <w:bCs/>
                          <w:vertAlign w:val="superscript"/>
                        </w:rPr>
                        <w:t>05</w:t>
                      </w:r>
                      <w:r>
                        <w:rPr>
                          <w:rStyle w:val="CharStyle15"/>
                          <w:b/>
                          <w:bCs/>
                        </w:rPr>
                        <w:t>-</w:t>
                      </w:r>
                      <w:r>
                        <w:rPr>
                          <w:rStyle w:val="CharStyle15"/>
                          <w:b/>
                          <w:bCs/>
                          <w:vertAlign w:val="superscript"/>
                        </w:rPr>
                        <w:t xml:space="preserve">13 </w:t>
                      </w:r>
                      <w:r>
                        <w:rPr>
                          <w:rStyle w:val="CharStyle15"/>
                          <w:b/>
                          <w:bCs/>
                        </w:rPr>
                        <w:t xml:space="preserve">DudllbKy </w:t>
                      </w:r>
                      <w:r>
                        <w:rPr>
                          <w:rStyle w:val="CharStyle15"/>
                          <w:rFonts w:ascii="Segoe UI" w:eastAsia="Segoe UI" w:hAnsi="Segoe UI" w:cs="Segoe UI"/>
                          <w:sz w:val="20"/>
                          <w:szCs w:val="20"/>
                        </w:rPr>
                        <w:t>09:42:01 +02'00'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6835" w:rsidRDefault="00107083">
      <w:pPr>
        <w:spacing w:line="1" w:lineRule="exact"/>
        <w:sectPr w:rsidR="00726835">
          <w:footerReference w:type="default" r:id="rId7"/>
          <w:pgSz w:w="11900" w:h="16840"/>
          <w:pgMar w:top="464" w:right="1528" w:bottom="1566" w:left="1512" w:header="3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52400" distB="3175" distL="0" distR="0" simplePos="0" relativeHeight="125829386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152400</wp:posOffset>
                </wp:positionV>
                <wp:extent cx="1390015" cy="506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1"/>
                              <w:spacing w:after="0"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726835" w:rsidRDefault="00107083">
                            <w:pPr>
                              <w:pStyle w:val="Zkladntext1"/>
                              <w:spacing w:after="0" w:line="295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5.950000000000003pt;margin-top:12.pt;width:109.45pt;height:39.850000000000001pt;z-index:-125829367;mso-wrap-distance-left:0;mso-wrap-distance-top:12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5575" distB="0" distL="0" distR="0" simplePos="0" relativeHeight="125829388" behindDoc="0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155575</wp:posOffset>
                </wp:positionV>
                <wp:extent cx="1368425" cy="5060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1"/>
                              <w:spacing w:after="0"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Ing. Libor Stránský SMART PROJEKT s.r.o.</w:t>
                            </w:r>
                          </w:p>
                          <w:p w:rsidR="00726835" w:rsidRDefault="00107083">
                            <w:pPr>
                              <w:pStyle w:val="Zkladntext1"/>
                              <w:spacing w:after="0" w:line="295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7.69999999999999pt;margin-top:12.25pt;width:107.75pt;height:39.850000000000001pt;z-index:-125829365;mso-wrap-distance-left:0;mso-wrap-distance-top:12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Libor Stránský SMART PROJEKT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6835" w:rsidRDefault="00726835">
      <w:pPr>
        <w:spacing w:line="240" w:lineRule="exact"/>
        <w:rPr>
          <w:sz w:val="19"/>
          <w:szCs w:val="19"/>
        </w:rPr>
      </w:pPr>
    </w:p>
    <w:p w:rsidR="00726835" w:rsidRDefault="00726835">
      <w:pPr>
        <w:spacing w:before="78" w:after="78" w:line="240" w:lineRule="exact"/>
        <w:rPr>
          <w:sz w:val="19"/>
          <w:szCs w:val="19"/>
        </w:rPr>
      </w:pPr>
    </w:p>
    <w:p w:rsidR="00726835" w:rsidRDefault="00726835">
      <w:pPr>
        <w:spacing w:line="1" w:lineRule="exact"/>
        <w:sectPr w:rsidR="00726835">
          <w:type w:val="continuous"/>
          <w:pgSz w:w="11900" w:h="16840"/>
          <w:pgMar w:top="1550" w:right="0" w:bottom="1550" w:left="0" w:header="0" w:footer="3" w:gutter="0"/>
          <w:cols w:space="720"/>
          <w:noEndnote/>
          <w:docGrid w:linePitch="360"/>
        </w:sectPr>
      </w:pPr>
    </w:p>
    <w:p w:rsidR="00726835" w:rsidRDefault="0010708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12700</wp:posOffset>
                </wp:positionV>
                <wp:extent cx="676910" cy="3111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6835" w:rsidRDefault="0010708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1</w:t>
                            </w:r>
                          </w:p>
                          <w:p w:rsidR="00726835" w:rsidRDefault="0010708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5.950000000000003pt;margin-top:1.pt;width:53.300000000000004pt;height:24.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26835" w:rsidRDefault="00107083">
      <w:pPr>
        <w:pStyle w:val="Zkladntext1"/>
        <w:spacing w:after="0"/>
      </w:pPr>
      <w:r>
        <w:rPr>
          <w:rStyle w:val="Zkladntext"/>
        </w:rPr>
        <w:t>Specifikace</w:t>
      </w:r>
    </w:p>
    <w:p w:rsidR="00726835" w:rsidRDefault="00107083">
      <w:pPr>
        <w:pStyle w:val="Zkladntext1"/>
        <w:spacing w:after="0"/>
        <w:sectPr w:rsidR="00726835">
          <w:type w:val="continuous"/>
          <w:pgSz w:w="11900" w:h="16840"/>
          <w:pgMar w:top="1550" w:right="1458" w:bottom="1550" w:left="1563" w:header="0" w:footer="3" w:gutter="0"/>
          <w:cols w:space="720"/>
          <w:noEndnote/>
          <w:docGrid w:linePitch="360"/>
        </w:sectPr>
      </w:pPr>
      <w:r>
        <w:rPr>
          <w:rStyle w:val="Zkladntext"/>
        </w:rPr>
        <w:t>Sekční vrata - standard ZZS</w:t>
      </w:r>
    </w:p>
    <w:p w:rsidR="00726835" w:rsidRDefault="00107083">
      <w:pPr>
        <w:pStyle w:val="Zkladntext1"/>
        <w:spacing w:after="220"/>
        <w:jc w:val="both"/>
      </w:pPr>
      <w:r>
        <w:rPr>
          <w:rStyle w:val="Zkladntext"/>
          <w:b/>
          <w:bCs/>
        </w:rPr>
        <w:lastRenderedPageBreak/>
        <w:t>Příloha č. 1 Specifikace</w:t>
      </w:r>
    </w:p>
    <w:p w:rsidR="00726835" w:rsidRDefault="00107083">
      <w:pPr>
        <w:pStyle w:val="Zkladntext1"/>
        <w:spacing w:after="220"/>
        <w:jc w:val="both"/>
      </w:pPr>
      <w:r>
        <w:rPr>
          <w:rStyle w:val="Zkladntext"/>
        </w:rPr>
        <w:t>Požadavky na zpracování projektové dokumentace rekonstrukce: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Vymístění kotelny a bojlerů pro ohřev TUV do jiných vhodných prostor (viz bod 2). Provedeni</w:t>
      </w:r>
      <w:r>
        <w:rPr>
          <w:rStyle w:val="Zkladntext"/>
        </w:rPr>
        <w:t xml:space="preserve"> přestavby tohoto prostoru na sklad speciálního zdravotnického materiálu, umístění dezinfekční vany a umývadel pro dezinfekci zdravotnických prostředků či sklad léčiv.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Vymístění záložního zdroje (MG) a dílny autoprovozu do jiných, vhodných prostor. Vybudov</w:t>
      </w:r>
      <w:r>
        <w:rPr>
          <w:rStyle w:val="Zkladntext"/>
        </w:rPr>
        <w:t>ané prostory budou určeny pro umístění záložního zdroje elektrické energie (MG), dílny autoprovozu, kotelny, bojlerů pro ohřev TUV, technologie tepelného čerpadla a umístění technologie FVE. Možností je využití prostoru části nádvoří za budovou výjezdové z</w:t>
      </w:r>
      <w:r>
        <w:rPr>
          <w:rStyle w:val="Zkladntext"/>
        </w:rPr>
        <w:t>ákladny (dále také jen „VZ“) a současných garáží č. 13 až 16. Provedení přestavby původního prostoru na sklad speciálního zdravotnického materiálu, umístění dezinfekční vany a umývadel pro dezinfekci zdravotnických prostředků či sklad léčiv.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Výměna rozvodů</w:t>
      </w:r>
      <w:r>
        <w:rPr>
          <w:rStyle w:val="Zkladntext"/>
        </w:rPr>
        <w:t xml:space="preserve"> pitné vody, vybudování rozvodů užitkové vody pro splachování toalet a případně I k dalšímu využití. Předpokládá se vybudování retenční nádrže pro záchyt dešťových vod a také využití vody ze stávajícího zdroje pro mycí box v Blansku (studny s nádrží). Přep</w:t>
      </w:r>
      <w:r>
        <w:rPr>
          <w:rStyle w:val="Zkladntext"/>
        </w:rPr>
        <w:t>ad nespotřebované vody z retenční nádrže provést vsakem v případě, že to daná lokalita umožňuje. Systém bude využívat systému přepínání zdrojů v pořadí: srážková voda, studna, řad.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Výměna rozvodů odpadních vod s napojením na stávající kanalizační řad v are</w:t>
      </w:r>
      <w:r>
        <w:rPr>
          <w:rStyle w:val="Zkladntext"/>
        </w:rPr>
        <w:t xml:space="preserve">álu Nemocnice Blansko a výjezdové základny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p. o. v Blansku.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Kompletní rekonstrukce topného systému. Návrh nejvhodnější varianty topení v objektu (preferujeme podlahové topení) např. s využitím tepelného čerpadla typu „země-voda“ či jiného vhodného</w:t>
      </w:r>
      <w:r>
        <w:rPr>
          <w:rStyle w:val="Zkladntext"/>
        </w:rPr>
        <w:t xml:space="preserve"> zdroje tepla se zachováním plynového kotle (kotlů) jako záložního zdroje tepla v objektu. Týká se i rekonstrukce garáží 1 až 12.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 xml:space="preserve">Realizace vzduchotechniky a systému chlazení (klimatizace) budovy výjezdové základny a stání pro 5 sanitních vozidel s šířkou </w:t>
      </w:r>
      <w:r>
        <w:rPr>
          <w:rStyle w:val="Zkladntext"/>
        </w:rPr>
        <w:t xml:space="preserve">3,75 m. Systém VZT uvažuje využití takových jednotek, které umožní zpětné využívání tepla z odpadního vzduchu - viz jednotky využívané na nových výjezdových základnách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. Pro systém klimatizace preferujeme využití chladové vody (chlazené pomocí TČ), </w:t>
      </w:r>
      <w:r>
        <w:rPr>
          <w:rStyle w:val="Zkladntext"/>
        </w:rPr>
        <w:t xml:space="preserve">kdy pro pobytové místnosti preferujeme pasivní chlazení, např. chladící stropy. Pro chlazení garáží se předpokládá využití </w:t>
      </w:r>
      <w:proofErr w:type="spellStart"/>
      <w:r>
        <w:rPr>
          <w:rStyle w:val="Zkladntext"/>
        </w:rPr>
        <w:t>FanCoil</w:t>
      </w:r>
      <w:proofErr w:type="spellEnd"/>
      <w:r>
        <w:rPr>
          <w:rStyle w:val="Zkladntext"/>
        </w:rPr>
        <w:t xml:space="preserve"> jednotek.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Výměna výplní otvorů (oken, dveří) hliníkovou variantou s parametry, které zajistí, že objekt bude proveden ve stan</w:t>
      </w:r>
      <w:r>
        <w:rPr>
          <w:rStyle w:val="Zkladntext"/>
        </w:rPr>
        <w:t>dardu „téměř nulová spotřeba energie“.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proofErr w:type="spellStart"/>
      <w:r>
        <w:rPr>
          <w:rStyle w:val="Zkladntext"/>
        </w:rPr>
        <w:t>Okha</w:t>
      </w:r>
      <w:proofErr w:type="spellEnd"/>
      <w:r>
        <w:rPr>
          <w:rStyle w:val="Zkladntext"/>
        </w:rPr>
        <w:t xml:space="preserve"> osadit vnějšími AI žaluziemi na jižní, západní a v případě denní místnosti ve 2. NP i na severní straně objektu VZ.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 xml:space="preserve">Všechny nově osazované dveře, včetně dveří vstupních, budou osazeny systémovou vložkou </w:t>
      </w:r>
      <w:r>
        <w:rPr>
          <w:rStyle w:val="Zkladntext"/>
        </w:rPr>
        <w:t xml:space="preserve">používanou v systému generálního klíče využívaného v rámci VZ Blansko. Všechny dveře v plášti budovy budou osazeny elektromechanickým zámkem s příslušenstvím dle standardu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Rekonstrukce střešní konstrukce a střešní krytiny se zajištěním únosnosti p</w:t>
      </w:r>
      <w:r>
        <w:rPr>
          <w:rStyle w:val="Zkladntext"/>
        </w:rPr>
        <w:t>ro instalaci panelů FVE.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Zateplení stropní části 2. NP objektu tak, aby budova dosáhla standardu „téměř nulová spotřeba energie“.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Zateplení fasády objektu VZ tak, aby to odpovídalo standardu „téměř nulová spotřeba energie“. Barevné sjednocení fasády se sta</w:t>
      </w:r>
      <w:r>
        <w:rPr>
          <w:rStyle w:val="Zkladntext"/>
        </w:rPr>
        <w:t xml:space="preserve">ndardem nových základen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 w:line="252" w:lineRule="auto"/>
        <w:ind w:left="400" w:hanging="400"/>
        <w:jc w:val="both"/>
      </w:pPr>
      <w:r>
        <w:rPr>
          <w:rStyle w:val="Zkladntext"/>
        </w:rPr>
        <w:t>Součástí projektu nebude výměna garážových vrat garáží sanitních vozidel v budově VZ (osazení garážových vrat bylo provedeno samostatně před rekonstrukcí objektu v roce 2024).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ind w:left="400" w:hanging="400"/>
        <w:jc w:val="both"/>
      </w:pPr>
      <w:r>
        <w:rPr>
          <w:rStyle w:val="Zkladntext"/>
        </w:rPr>
        <w:t>Komplexní rekonstrukce garáží 1 až 12 včetně je</w:t>
      </w:r>
      <w:r>
        <w:rPr>
          <w:rStyle w:val="Zkladntext"/>
        </w:rPr>
        <w:t>jich vytápění, vzduchotechniky, klimatizace a topení. Parametry parkovacích stání (šířka x hloubka x výška) 3,75 x 9 x min. 3,2 metrů pro 5 vozidel a 3,15 x 9 x min. 3,2 metrů pro ostatní vozidla. Celkový počet garážových stání vozidel bude dán rozměry stá</w:t>
      </w:r>
      <w:r>
        <w:rPr>
          <w:rStyle w:val="Zkladntext"/>
        </w:rPr>
        <w:t>vající dispozice garáží 1 až 12. Uvažovat sekční garážová vrata a zateplení objektu garáží tak, aby splňoval standard „téměř nulová spotřeba energie“.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394"/>
        </w:tabs>
        <w:spacing w:after="100"/>
        <w:jc w:val="both"/>
      </w:pPr>
      <w:r>
        <w:rPr>
          <w:rStyle w:val="Zkladntext"/>
        </w:rPr>
        <w:t>Garážová vrata budou splňovat i následující parametry:</w:t>
      </w:r>
    </w:p>
    <w:p w:rsidR="00726835" w:rsidRDefault="00107083">
      <w:pPr>
        <w:pStyle w:val="Zkladntext1"/>
        <w:numPr>
          <w:ilvl w:val="0"/>
          <w:numId w:val="4"/>
        </w:numPr>
        <w:tabs>
          <w:tab w:val="left" w:pos="686"/>
        </w:tabs>
        <w:spacing w:after="100"/>
        <w:ind w:firstLine="340"/>
        <w:jc w:val="both"/>
      </w:pPr>
      <w:r>
        <w:rPr>
          <w:rStyle w:val="Zkladntext"/>
        </w:rPr>
        <w:t xml:space="preserve">Řídící jednotka programovatelná s frekvenčním </w:t>
      </w:r>
      <w:r>
        <w:rPr>
          <w:rStyle w:val="Zkladntext"/>
        </w:rPr>
        <w:t>měničem.</w:t>
      </w:r>
    </w:p>
    <w:p w:rsidR="00726835" w:rsidRDefault="00107083">
      <w:pPr>
        <w:pStyle w:val="Zkladntext1"/>
        <w:numPr>
          <w:ilvl w:val="0"/>
          <w:numId w:val="4"/>
        </w:numPr>
        <w:tabs>
          <w:tab w:val="left" w:pos="706"/>
        </w:tabs>
        <w:ind w:left="720" w:hanging="360"/>
        <w:jc w:val="both"/>
      </w:pPr>
      <w:r>
        <w:rPr>
          <w:rStyle w:val="Zkladntext"/>
        </w:rPr>
        <w:t>Semafory ve dvoukomorovém LED provedení (červená, zelená) na vnější i vnitřní straně objektu, vždy na straně řidiče. Umístění ve výšce 1850 mm na střed.</w:t>
      </w:r>
    </w:p>
    <w:p w:rsidR="00726835" w:rsidRDefault="00107083">
      <w:pPr>
        <w:pStyle w:val="Zkladntext1"/>
        <w:numPr>
          <w:ilvl w:val="0"/>
          <w:numId w:val="4"/>
        </w:numPr>
        <w:tabs>
          <w:tab w:val="left" w:pos="706"/>
        </w:tabs>
        <w:spacing w:line="259" w:lineRule="auto"/>
        <w:ind w:left="720" w:hanging="360"/>
        <w:jc w:val="both"/>
      </w:pPr>
      <w:r>
        <w:rPr>
          <w:rStyle w:val="Zkladntext"/>
        </w:rPr>
        <w:t xml:space="preserve">Ostatní parametry viz standard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p. o. - přílohy č. 2 s výjimkou parametrů výše uvedený</w:t>
      </w:r>
      <w:r>
        <w:rPr>
          <w:rStyle w:val="Zkladntext"/>
        </w:rPr>
        <w:t>ch.</w:t>
      </w:r>
    </w:p>
    <w:p w:rsidR="00726835" w:rsidRDefault="00107083">
      <w:pPr>
        <w:pStyle w:val="Zkladntext1"/>
        <w:numPr>
          <w:ilvl w:val="0"/>
          <w:numId w:val="4"/>
        </w:numPr>
        <w:tabs>
          <w:tab w:val="left" w:pos="706"/>
        </w:tabs>
        <w:ind w:firstLine="360"/>
        <w:jc w:val="both"/>
      </w:pPr>
      <w:r>
        <w:rPr>
          <w:rStyle w:val="Zkladntext"/>
        </w:rPr>
        <w:lastRenderedPageBreak/>
        <w:t>Provedení vrat musí odpovídat dosažení standardu „téměř nulová spotřeba energie“.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3"/>
        </w:tabs>
        <w:ind w:left="420" w:hanging="420"/>
        <w:jc w:val="both"/>
      </w:pPr>
      <w:r>
        <w:rPr>
          <w:rStyle w:val="Zkladntext"/>
        </w:rPr>
        <w:t>V rekonstruovaných garážích (1 až 12) bude řešena komplexní elektroinstalace (osvětlení, napájení sanitních vozidel, zásuvkové obvody). Bude řešeno v souladu s platnou le</w:t>
      </w:r>
      <w:r>
        <w:rPr>
          <w:rStyle w:val="Zkladntext"/>
        </w:rPr>
        <w:t xml:space="preserve">gislativou a se standardy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p. o.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 xml:space="preserve">Projekt musí respektovat nepřetržitý provoz výjezdových skupin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a rekonstrukce musí být navržena etapově (PD bude obsahovat harmonogram prací), aby co nejméně omezila činnosti zajišťované v budově ZZS Blansko</w:t>
      </w:r>
      <w:r>
        <w:rPr>
          <w:rStyle w:val="Zkladntext"/>
        </w:rPr>
        <w:t>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08"/>
        </w:tabs>
        <w:ind w:left="420" w:hanging="420"/>
        <w:jc w:val="both"/>
      </w:pPr>
      <w:r>
        <w:rPr>
          <w:rStyle w:val="Zkladntext"/>
        </w:rPr>
        <w:t>Součástí PD bude návrh propojení záložní garáže i mycího boxu se systémy rekonstruovaného objektu výjezdové základy (topení, přípojka NN, slaboproudé rozvody).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Zkladntext"/>
        </w:rPr>
        <w:t>Součástí PD bude demolice přístřešku nad vjezdem do areálu (u vrátnice).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spacing w:line="252" w:lineRule="auto"/>
        <w:ind w:left="420" w:hanging="420"/>
        <w:jc w:val="both"/>
      </w:pPr>
      <w:r>
        <w:rPr>
          <w:rStyle w:val="Zkladntext"/>
        </w:rPr>
        <w:t xml:space="preserve">Bude provedena </w:t>
      </w:r>
      <w:r>
        <w:rPr>
          <w:rStyle w:val="Zkladntext"/>
        </w:rPr>
        <w:t>příprava umožňující připojení slaboproudých rozvodů pro ovládání závory pro vjezd do areálu (závory jsou v majetku Nemocnice Blansko, p. o.).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Zkladntext"/>
        </w:rPr>
        <w:t>Součástí PD bude realizace slaboproudých rozvodů v rozsahu:</w:t>
      </w:r>
    </w:p>
    <w:p w:rsidR="00726835" w:rsidRDefault="00107083">
      <w:pPr>
        <w:pStyle w:val="Zkladntext1"/>
        <w:numPr>
          <w:ilvl w:val="0"/>
          <w:numId w:val="5"/>
        </w:numPr>
        <w:tabs>
          <w:tab w:val="left" w:pos="1382"/>
        </w:tabs>
        <w:ind w:left="1060"/>
        <w:jc w:val="both"/>
      </w:pPr>
      <w:r>
        <w:rPr>
          <w:rStyle w:val="Zkladntext"/>
        </w:rPr>
        <w:t>Systém PZTS včetně přístupového systému (řešením použí</w:t>
      </w:r>
      <w:r>
        <w:rPr>
          <w:rStyle w:val="Zkladntext"/>
        </w:rPr>
        <w:t xml:space="preserve">vané v rámci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)</w:t>
      </w:r>
    </w:p>
    <w:p w:rsidR="00726835" w:rsidRDefault="00107083">
      <w:pPr>
        <w:pStyle w:val="Zkladntext1"/>
        <w:numPr>
          <w:ilvl w:val="0"/>
          <w:numId w:val="5"/>
        </w:numPr>
        <w:tabs>
          <w:tab w:val="left" w:pos="1382"/>
        </w:tabs>
        <w:ind w:left="1420" w:hanging="360"/>
        <w:jc w:val="both"/>
      </w:pPr>
      <w:r>
        <w:rPr>
          <w:rStyle w:val="Zkladntext"/>
        </w:rPr>
        <w:t>Osazení přístupového systému je uvažováno na všechny vnější dveře v plášti budovy i na všechna garážová vrata včetně vrat stávajících (vyměněny v roce 2024)</w:t>
      </w:r>
    </w:p>
    <w:p w:rsidR="00726835" w:rsidRDefault="00107083">
      <w:pPr>
        <w:pStyle w:val="Zkladntext1"/>
        <w:numPr>
          <w:ilvl w:val="0"/>
          <w:numId w:val="5"/>
        </w:numPr>
        <w:tabs>
          <w:tab w:val="left" w:pos="1382"/>
        </w:tabs>
        <w:ind w:left="1420" w:hanging="360"/>
        <w:jc w:val="both"/>
      </w:pPr>
      <w:r>
        <w:rPr>
          <w:rStyle w:val="Zkladntext"/>
        </w:rPr>
        <w:t>Se zhotovitelem bude v rámci projektové přípravy upřesněno osazení přístupové</w:t>
      </w:r>
      <w:r>
        <w:rPr>
          <w:rStyle w:val="Zkladntext"/>
        </w:rPr>
        <w:t>ho systému také na další dveře v rámci budovy.</w:t>
      </w:r>
    </w:p>
    <w:p w:rsidR="00726835" w:rsidRDefault="00107083">
      <w:pPr>
        <w:pStyle w:val="Zkladntext1"/>
        <w:numPr>
          <w:ilvl w:val="0"/>
          <w:numId w:val="5"/>
        </w:numPr>
        <w:tabs>
          <w:tab w:val="left" w:pos="1382"/>
        </w:tabs>
        <w:ind w:left="1060"/>
        <w:jc w:val="both"/>
      </w:pPr>
      <w:r>
        <w:rPr>
          <w:rStyle w:val="Zkladntext"/>
        </w:rPr>
        <w:t>Osazení prvků systému PZTS bude řešeno dle platné legislativy.</w:t>
      </w:r>
    </w:p>
    <w:p w:rsidR="00726835" w:rsidRDefault="00107083">
      <w:pPr>
        <w:pStyle w:val="Zkladntext1"/>
        <w:numPr>
          <w:ilvl w:val="0"/>
          <w:numId w:val="5"/>
        </w:numPr>
        <w:tabs>
          <w:tab w:val="left" w:pos="1382"/>
        </w:tabs>
        <w:ind w:left="1420" w:hanging="360"/>
        <w:jc w:val="both"/>
      </w:pPr>
      <w:r>
        <w:rPr>
          <w:rStyle w:val="Zkladntext"/>
        </w:rPr>
        <w:t xml:space="preserve">Bude provedena kompletní rekonstrukce a doplnění strukturované kabeláže v objektu dle standardu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p. o.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>Součástí bude systém MAR umožňující</w:t>
      </w:r>
      <w:r>
        <w:rPr>
          <w:rStyle w:val="Zkladntext"/>
        </w:rPr>
        <w:t xml:space="preserve"> kompletní správu připojených zařízení (TČ, VZT, FVE, </w:t>
      </w:r>
      <w:proofErr w:type="gramStart"/>
      <w:r>
        <w:rPr>
          <w:rStyle w:val="Zkladntext"/>
        </w:rPr>
        <w:t>klimatizace,...) a také</w:t>
      </w:r>
      <w:proofErr w:type="gramEnd"/>
      <w:r>
        <w:rPr>
          <w:rStyle w:val="Zkladntext"/>
        </w:rPr>
        <w:t xml:space="preserve"> bude zajištěna komunikace tohoto systému s centrálním SW pro správu, který je používán v rámci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 xml:space="preserve"> (</w:t>
      </w:r>
      <w:proofErr w:type="spellStart"/>
      <w:r>
        <w:rPr>
          <w:rStyle w:val="Zkladntext"/>
        </w:rPr>
        <w:t>SBl</w:t>
      </w:r>
      <w:proofErr w:type="spellEnd"/>
      <w:r>
        <w:rPr>
          <w:rStyle w:val="Zkladntext"/>
        </w:rPr>
        <w:t>). Celková vazba mezi systémy, jejich ovládání a vizualizace budou řeše</w:t>
      </w:r>
      <w:r>
        <w:rPr>
          <w:rStyle w:val="Zkladntext"/>
        </w:rPr>
        <w:t xml:space="preserve">ny dle standardů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, p. o.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 xml:space="preserve">Dokumentace bude dodána 3x v tištěném provedení a také elektronicky ve formátech 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 xml:space="preserve"> i </w:t>
      </w:r>
      <w:proofErr w:type="spellStart"/>
      <w:r>
        <w:rPr>
          <w:rStyle w:val="Zkladntext"/>
        </w:rPr>
        <w:t>dwg</w:t>
      </w:r>
      <w:proofErr w:type="spellEnd"/>
      <w:r>
        <w:rPr>
          <w:rStyle w:val="Zkladntext"/>
        </w:rPr>
        <w:t>. Součástí dokumentace bude výkaz výměr s položkovým rozpočtem.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Zkladntext"/>
        </w:rPr>
        <w:t>Stávající dokumentace je k dispozici pouze v papírové podobě.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jc w:val="both"/>
      </w:pPr>
      <w:r>
        <w:rPr>
          <w:rStyle w:val="Zkladntext"/>
        </w:rPr>
        <w:t>Autorská</w:t>
      </w:r>
      <w:r>
        <w:rPr>
          <w:rStyle w:val="Zkladntext"/>
        </w:rPr>
        <w:t xml:space="preserve"> práva přechází splněním díla na objednatele.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8"/>
        </w:tabs>
        <w:ind w:left="420" w:hanging="420"/>
        <w:jc w:val="both"/>
      </w:pPr>
      <w:r>
        <w:rPr>
          <w:rStyle w:val="Zkladntext"/>
        </w:rPr>
        <w:t xml:space="preserve">PD se netýká výměny sekčních garážových vrat sanitních vozidel v budově VZ. V rámci projektové přípravy bude řešeno připojení těchto vrat k přístupovému systému dle standardu ZZS </w:t>
      </w:r>
      <w:proofErr w:type="spellStart"/>
      <w:r>
        <w:rPr>
          <w:rStyle w:val="Zkladntext"/>
        </w:rPr>
        <w:t>JmK</w:t>
      </w:r>
      <w:proofErr w:type="spellEnd"/>
      <w:r>
        <w:rPr>
          <w:rStyle w:val="Zkladntext"/>
        </w:rPr>
        <w:t>.</w:t>
      </w:r>
    </w:p>
    <w:p w:rsidR="00726835" w:rsidRDefault="00107083">
      <w:pPr>
        <w:pStyle w:val="Zkladntext1"/>
        <w:numPr>
          <w:ilvl w:val="0"/>
          <w:numId w:val="3"/>
        </w:numPr>
        <w:tabs>
          <w:tab w:val="left" w:pos="413"/>
        </w:tabs>
        <w:ind w:left="420" w:hanging="420"/>
        <w:jc w:val="both"/>
      </w:pPr>
      <w:r>
        <w:rPr>
          <w:rStyle w:val="Zkladntext"/>
        </w:rPr>
        <w:t>Požadujeme, aby opatření s</w:t>
      </w:r>
      <w:r>
        <w:rPr>
          <w:rStyle w:val="Zkladntext"/>
        </w:rPr>
        <w:t>plňovala některou z dotačních výzev pro financování rekonstrukce, za předpokladu, že takováto výzva je, či bude v období zpracování projektové dokumentace vypsána.</w:t>
      </w:r>
    </w:p>
    <w:p w:rsidR="00726835" w:rsidRDefault="00107083">
      <w:pPr>
        <w:pStyle w:val="Zkladntext1"/>
        <w:spacing w:after="360"/>
        <w:jc w:val="both"/>
      </w:pPr>
      <w:r>
        <w:rPr>
          <w:rStyle w:val="Zkladntext"/>
          <w:b/>
          <w:bCs/>
        </w:rPr>
        <w:t>Příloha č. 2 Sekční vrata - standard ZZS</w:t>
      </w:r>
    </w:p>
    <w:p w:rsidR="00726835" w:rsidRDefault="00107083">
      <w:pPr>
        <w:pStyle w:val="Zkladntext1"/>
        <w:spacing w:after="0"/>
        <w:jc w:val="both"/>
      </w:pPr>
      <w:r>
        <w:rPr>
          <w:rStyle w:val="Zkladntext"/>
          <w:b/>
          <w:bCs/>
        </w:rPr>
        <w:t>Sekční vrata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0"/>
        <w:jc w:val="both"/>
      </w:pPr>
      <w:r>
        <w:rPr>
          <w:rStyle w:val="Zkladntext"/>
        </w:rPr>
        <w:t xml:space="preserve">s motorickým ovládáním s vysokou </w:t>
      </w:r>
      <w:r>
        <w:rPr>
          <w:rStyle w:val="Zkladntext"/>
        </w:rPr>
        <w:t>četností otvírání,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220"/>
        <w:ind w:left="420" w:hanging="420"/>
      </w:pPr>
      <w:r>
        <w:rPr>
          <w:rStyle w:val="Zkladntext"/>
        </w:rPr>
        <w:t>umístění vrat do prostor dezinfekčního boxu musí být veškeré prvky vhodné do vlhkého prostředí (nerezové provedení kovových částí vrat).</w:t>
      </w:r>
    </w:p>
    <w:p w:rsidR="00726835" w:rsidRDefault="00107083">
      <w:pPr>
        <w:pStyle w:val="Zkladntext1"/>
        <w:jc w:val="both"/>
      </w:pPr>
      <w:r>
        <w:rPr>
          <w:rStyle w:val="Zkladntext"/>
          <w:u w:val="single"/>
        </w:rPr>
        <w:t>Sekční vrata se skládají z následujících hlavních částí:</w:t>
      </w:r>
    </w:p>
    <w:p w:rsidR="00726835" w:rsidRDefault="00107083">
      <w:pPr>
        <w:pStyle w:val="Zkladntext1"/>
        <w:spacing w:after="0"/>
        <w:jc w:val="both"/>
      </w:pPr>
      <w:r>
        <w:rPr>
          <w:rStyle w:val="Zkladntext"/>
        </w:rPr>
        <w:t>Vratové křídlo - plné lamely</w:t>
      </w:r>
    </w:p>
    <w:p w:rsidR="00726835" w:rsidRDefault="00107083">
      <w:pPr>
        <w:pStyle w:val="Zkladntext1"/>
        <w:spacing w:after="0" w:line="223" w:lineRule="auto"/>
        <w:jc w:val="both"/>
      </w:pPr>
      <w:r>
        <w:rPr>
          <w:rStyle w:val="Zkladntext"/>
        </w:rPr>
        <w:t>Výplň křídla -</w:t>
      </w:r>
      <w:r>
        <w:rPr>
          <w:rStyle w:val="Zkladntext"/>
        </w:rPr>
        <w:t xml:space="preserve"> tepelně izolační "</w:t>
      </w:r>
      <w:proofErr w:type="spellStart"/>
      <w:r>
        <w:rPr>
          <w:rStyle w:val="Zkladntext"/>
        </w:rPr>
        <w:t>pur</w:t>
      </w:r>
      <w:proofErr w:type="spellEnd"/>
      <w:r>
        <w:rPr>
          <w:rStyle w:val="Zkladntext"/>
        </w:rPr>
        <w:t>" pěna bez použití freonů hustoty 40 kg/m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>.</w:t>
      </w:r>
    </w:p>
    <w:p w:rsidR="00726835" w:rsidRDefault="00107083">
      <w:pPr>
        <w:pStyle w:val="Zkladntext1"/>
        <w:tabs>
          <w:tab w:val="left" w:pos="1738"/>
        </w:tabs>
        <w:spacing w:after="0" w:line="223" w:lineRule="auto"/>
        <w:jc w:val="both"/>
      </w:pPr>
      <w:r>
        <w:rPr>
          <w:rStyle w:val="Zkladntext"/>
        </w:rPr>
        <w:t>Složení povrchové vrstvy - ocelový plech tloušťky 0,5 mm, vrstva zinku 275 mg/</w:t>
      </w:r>
      <w:proofErr w:type="spellStart"/>
      <w:r>
        <w:rPr>
          <w:rStyle w:val="Zkladntext"/>
        </w:rPr>
        <w:t>m</w:t>
      </w:r>
      <w:r>
        <w:rPr>
          <w:rStyle w:val="Zkladntext"/>
          <w:vertAlign w:val="superscript"/>
        </w:rPr>
        <w:t>z</w:t>
      </w:r>
      <w:proofErr w:type="spellEnd"/>
      <w:r>
        <w:rPr>
          <w:rStyle w:val="Zkladntext"/>
        </w:rPr>
        <w:t xml:space="preserve">, polyesterový nástřik + ochranný nátěr. Zakončení lamel je kvůli ochraně a zesílení osazeno pozinkovanými </w:t>
      </w:r>
      <w:proofErr w:type="spellStart"/>
      <w:r>
        <w:rPr>
          <w:rStyle w:val="Zkladntext"/>
        </w:rPr>
        <w:t>Q£a</w:t>
      </w:r>
      <w:r>
        <w:rPr>
          <w:rStyle w:val="Zkladntext"/>
        </w:rPr>
        <w:t>iQ</w:t>
      </w:r>
      <w:proofErr w:type="spellEnd"/>
      <w:r>
        <w:rPr>
          <w:rStyle w:val="Zkladntext"/>
        </w:rPr>
        <w:t>\/</w:t>
      </w:r>
      <w:proofErr w:type="spellStart"/>
      <w:r>
        <w:rPr>
          <w:rStyle w:val="Zkladntext"/>
        </w:rPr>
        <w:t>ými</w:t>
      </w:r>
      <w:proofErr w:type="spellEnd"/>
      <w:r>
        <w:rPr>
          <w:rStyle w:val="Zkladntext"/>
        </w:rPr>
        <w:tab/>
      </w:r>
      <w:r>
        <w:rPr>
          <w:rStyle w:val="Zkladntext"/>
          <w:b/>
          <w:bCs/>
        </w:rPr>
        <w:t xml:space="preserve">nárazovými </w:t>
      </w:r>
      <w:r>
        <w:rPr>
          <w:rStyle w:val="Zkladntext"/>
        </w:rPr>
        <w:t>kryty.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0"/>
        <w:ind w:left="420" w:hanging="420"/>
        <w:jc w:val="both"/>
      </w:pPr>
      <w:r>
        <w:rPr>
          <w:rStyle w:val="Zkladntext"/>
        </w:rPr>
        <w:t>Celková sestava vrat má minimální součinitel prostupu tepla U&lt;1,6 (W/m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K) (za použití 1ks prosklené al. </w:t>
      </w:r>
      <w:proofErr w:type="gramStart"/>
      <w:r>
        <w:rPr>
          <w:rStyle w:val="Zkladntext"/>
        </w:rPr>
        <w:t>sekce</w:t>
      </w:r>
      <w:proofErr w:type="gramEnd"/>
      <w:r>
        <w:rPr>
          <w:rStyle w:val="Zkladntext"/>
        </w:rPr>
        <w:t>),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0" w:line="233" w:lineRule="auto"/>
        <w:jc w:val="both"/>
      </w:pPr>
      <w:r>
        <w:rPr>
          <w:rStyle w:val="Zkladntext"/>
        </w:rPr>
        <w:t>lamely z vnitřní strany zesíleny ocelovými výztuhami, které zaručují spolehlivou fixaci pantů,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0" w:line="233" w:lineRule="auto"/>
        <w:ind w:left="420" w:hanging="420"/>
        <w:jc w:val="both"/>
      </w:pPr>
      <w:r>
        <w:rPr>
          <w:rStyle w:val="Zkladntext"/>
        </w:rPr>
        <w:t>jednotlivé lamely do se</w:t>
      </w:r>
      <w:r>
        <w:rPr>
          <w:rStyle w:val="Zkladntext"/>
        </w:rPr>
        <w:t>be zapadají přes tzv. zámek -&gt; zvýšení tepelně izolačních vlastností a bezpečnost provozu,</w:t>
      </w:r>
    </w:p>
    <w:p w:rsidR="00726835" w:rsidRDefault="00107083">
      <w:pPr>
        <w:pStyle w:val="Zkladntext1"/>
        <w:numPr>
          <w:ilvl w:val="0"/>
          <w:numId w:val="6"/>
        </w:numPr>
        <w:tabs>
          <w:tab w:val="left" w:pos="416"/>
        </w:tabs>
        <w:spacing w:after="0" w:line="233" w:lineRule="auto"/>
        <w:jc w:val="both"/>
      </w:pPr>
      <w:r>
        <w:rPr>
          <w:rStyle w:val="Zkladntext"/>
        </w:rPr>
        <w:t>prosvětlení realizováno hliníkovou lamelou 1 ks.</w:t>
      </w:r>
    </w:p>
    <w:p w:rsidR="00726835" w:rsidRDefault="00107083">
      <w:pPr>
        <w:pStyle w:val="Zkladntext1"/>
        <w:spacing w:after="220" w:line="233" w:lineRule="auto"/>
        <w:jc w:val="both"/>
      </w:pPr>
      <w:r>
        <w:rPr>
          <w:rStyle w:val="Zkladntext"/>
        </w:rPr>
        <w:lastRenderedPageBreak/>
        <w:t xml:space="preserve">Rám lamely je vyroben z hliníkových profilů (povrchová úprava přírodní </w:t>
      </w:r>
      <w:proofErr w:type="spellStart"/>
      <w:r>
        <w:rPr>
          <w:rStyle w:val="Zkladntext"/>
        </w:rPr>
        <w:t>elox</w:t>
      </w:r>
      <w:proofErr w:type="spellEnd"/>
      <w:r>
        <w:rPr>
          <w:rStyle w:val="Zkladntext"/>
        </w:rPr>
        <w:t xml:space="preserve"> e6/ev1). Výplň rámů: </w:t>
      </w:r>
      <w:proofErr w:type="spellStart"/>
      <w:r>
        <w:rPr>
          <w:rStyle w:val="Zkladntext"/>
        </w:rPr>
        <w:t>plexi</w:t>
      </w:r>
      <w:proofErr w:type="spellEnd"/>
      <w:r>
        <w:rPr>
          <w:rStyle w:val="Zkladntext"/>
        </w:rPr>
        <w:t xml:space="preserve"> dvojité </w:t>
      </w:r>
      <w:proofErr w:type="gramStart"/>
      <w:r>
        <w:rPr>
          <w:rStyle w:val="Zkladntext"/>
        </w:rPr>
        <w:t>tl.21</w:t>
      </w:r>
      <w:proofErr w:type="gramEnd"/>
      <w:r>
        <w:rPr>
          <w:rStyle w:val="Zkladntext"/>
        </w:rPr>
        <w:t xml:space="preserve"> mm (2,3/16/2,3).</w:t>
      </w:r>
    </w:p>
    <w:p w:rsidR="00726835" w:rsidRDefault="00107083">
      <w:pPr>
        <w:pStyle w:val="Zkladntext1"/>
      </w:pPr>
      <w:r>
        <w:rPr>
          <w:rStyle w:val="Zkladntext"/>
          <w:u w:val="single"/>
        </w:rPr>
        <w:t>Povrchová úprava:</w:t>
      </w:r>
    </w:p>
    <w:p w:rsidR="00726835" w:rsidRDefault="00107083">
      <w:pPr>
        <w:pStyle w:val="Zkladntext1"/>
        <w:numPr>
          <w:ilvl w:val="0"/>
          <w:numId w:val="7"/>
        </w:numPr>
        <w:tabs>
          <w:tab w:val="left" w:pos="632"/>
        </w:tabs>
        <w:ind w:firstLine="360"/>
        <w:jc w:val="both"/>
      </w:pPr>
      <w:r>
        <w:rPr>
          <w:rStyle w:val="Zkladntext"/>
          <w:i/>
          <w:iCs/>
        </w:rPr>
        <w:t>exteriér,</w:t>
      </w:r>
      <w:r>
        <w:rPr>
          <w:rStyle w:val="Zkladntext"/>
        </w:rPr>
        <w:t xml:space="preserve"> nástřik odstín RAL 7039,</w:t>
      </w:r>
    </w:p>
    <w:p w:rsidR="00726835" w:rsidRDefault="00107083">
      <w:pPr>
        <w:pStyle w:val="Zkladntext1"/>
        <w:numPr>
          <w:ilvl w:val="0"/>
          <w:numId w:val="7"/>
        </w:numPr>
        <w:tabs>
          <w:tab w:val="left" w:pos="637"/>
        </w:tabs>
        <w:ind w:firstLine="360"/>
        <w:jc w:val="both"/>
      </w:pPr>
      <w:r>
        <w:rPr>
          <w:rStyle w:val="Zkladntext"/>
          <w:i/>
          <w:iCs/>
        </w:rPr>
        <w:t>interiér,</w:t>
      </w:r>
      <w:r>
        <w:rPr>
          <w:rStyle w:val="Zkladntext"/>
        </w:rPr>
        <w:t xml:space="preserve"> nástřik odstín RAL 9010, bílá</w:t>
      </w:r>
    </w:p>
    <w:p w:rsidR="00726835" w:rsidRDefault="00107083">
      <w:pPr>
        <w:pStyle w:val="Zkladntext1"/>
        <w:spacing w:after="220"/>
        <w:jc w:val="both"/>
      </w:pPr>
      <w:r>
        <w:rPr>
          <w:rStyle w:val="Zkladntext"/>
          <w:i/>
          <w:iCs/>
        </w:rPr>
        <w:t>Ochrana proti korozi:</w:t>
      </w:r>
      <w:r>
        <w:rPr>
          <w:rStyle w:val="Zkladntext"/>
        </w:rPr>
        <w:t xml:space="preserve"> spojovací díly lamel, svislé a vodorovné výjezdy, konzoly uchycení jsou žárově pozinkovány, lanové bubny a spodní konzoly jsou z hliníkového tlakového odlitku. Provedení vrat do vlhkého prostředí osazeny nerezovými komponenty.</w:t>
      </w:r>
    </w:p>
    <w:p w:rsidR="00726835" w:rsidRDefault="00107083">
      <w:pPr>
        <w:pStyle w:val="Zkladntext1"/>
        <w:jc w:val="both"/>
      </w:pPr>
      <w:r>
        <w:rPr>
          <w:rStyle w:val="Zkladntext"/>
          <w:u w:val="single"/>
        </w:rPr>
        <w:t>Utěsnění vratového křídla</w:t>
      </w:r>
    </w:p>
    <w:p w:rsidR="00726835" w:rsidRDefault="00107083">
      <w:pPr>
        <w:pStyle w:val="Zkladntext1"/>
        <w:spacing w:after="0"/>
        <w:ind w:left="540"/>
        <w:jc w:val="both"/>
      </w:pPr>
      <w:r>
        <w:rPr>
          <w:rStyle w:val="Zkladntext"/>
        </w:rPr>
        <w:t>po</w:t>
      </w:r>
      <w:r>
        <w:rPr>
          <w:rStyle w:val="Zkladntext"/>
        </w:rPr>
        <w:t xml:space="preserve"> stranách pomocí těsnících opěrných profilů uchycených ve svislé zárubni, na které dosedá vratové křídlo,</w:t>
      </w:r>
    </w:p>
    <w:p w:rsidR="00726835" w:rsidRDefault="00107083">
      <w:pPr>
        <w:pStyle w:val="Zkladntext1"/>
        <w:spacing w:after="0"/>
        <w:ind w:left="540"/>
        <w:jc w:val="both"/>
      </w:pPr>
      <w:r>
        <w:rPr>
          <w:rStyle w:val="Zkladntext"/>
        </w:rPr>
        <w:t xml:space="preserve">v </w:t>
      </w:r>
      <w:proofErr w:type="gramStart"/>
      <w:r>
        <w:rPr>
          <w:rStyle w:val="Zkladntext"/>
        </w:rPr>
        <w:t>podlaze 3-bodovým</w:t>
      </w:r>
      <w:proofErr w:type="gramEnd"/>
      <w:r>
        <w:rPr>
          <w:rStyle w:val="Zkladntext"/>
        </w:rPr>
        <w:t xml:space="preserve"> gumovým těsněním odolným proti hnilobě (EPDM) uchycené v al. Liště spodní lamely,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416"/>
        </w:tabs>
        <w:spacing w:after="220"/>
        <w:jc w:val="both"/>
      </w:pPr>
      <w:r>
        <w:rPr>
          <w:rStyle w:val="Zkladntext"/>
        </w:rPr>
        <w:t>v nadpraží příložnou gumou uchycenou v al. liště</w:t>
      </w:r>
      <w:r>
        <w:rPr>
          <w:rStyle w:val="Zkladntext"/>
        </w:rPr>
        <w:t xml:space="preserve"> vrchní lamely.</w:t>
      </w:r>
    </w:p>
    <w:p w:rsidR="00726835" w:rsidRDefault="00107083">
      <w:pPr>
        <w:pStyle w:val="Zkladntext1"/>
        <w:jc w:val="both"/>
      </w:pPr>
      <w:r>
        <w:rPr>
          <w:rStyle w:val="Zkladntext"/>
          <w:u w:val="single"/>
        </w:rPr>
        <w:t>Kolejnicové vedení vratového křídla</w:t>
      </w:r>
    </w:p>
    <w:p w:rsidR="00726835" w:rsidRDefault="00107083">
      <w:pPr>
        <w:pStyle w:val="Zkladntext1"/>
        <w:spacing w:after="0"/>
        <w:ind w:left="540"/>
        <w:jc w:val="both"/>
      </w:pPr>
      <w:r>
        <w:rPr>
          <w:rStyle w:val="Zkladntext"/>
        </w:rPr>
        <w:t>kolejnicové vedení je složeno z ocelových profilů tloušťky 2 mm (galvanicky zinkováno, případně nerezové),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416"/>
        </w:tabs>
        <w:spacing w:after="220"/>
        <w:ind w:left="540" w:hanging="540"/>
        <w:jc w:val="both"/>
      </w:pPr>
      <w:r>
        <w:rPr>
          <w:rStyle w:val="Zkladntext"/>
        </w:rPr>
        <w:t>určeno pro průmyslové provozy. Je vyráběno individuálně pro každý stavební otvor. To zaručuje pře</w:t>
      </w:r>
      <w:r>
        <w:rPr>
          <w:rStyle w:val="Zkladntext"/>
        </w:rPr>
        <w:t>sné vedení vratového křídla ve vertikálním směru a zabraňuje možnosti jeho vykolejení.</w:t>
      </w:r>
    </w:p>
    <w:p w:rsidR="00726835" w:rsidRDefault="00107083">
      <w:pPr>
        <w:pStyle w:val="Zkladntext1"/>
      </w:pPr>
      <w:r>
        <w:rPr>
          <w:rStyle w:val="Zkladntext"/>
          <w:u w:val="single"/>
        </w:rPr>
        <w:t>Sestava torzní pružiny</w:t>
      </w:r>
    </w:p>
    <w:p w:rsidR="00726835" w:rsidRDefault="00107083">
      <w:pPr>
        <w:pStyle w:val="Zkladntext1"/>
        <w:spacing w:after="0"/>
        <w:ind w:firstLine="540"/>
        <w:jc w:val="both"/>
      </w:pPr>
      <w:r>
        <w:rPr>
          <w:rStyle w:val="Zkladntext"/>
        </w:rPr>
        <w:t>pohyb vratového křídla usnadňuje pružinový mechanismus, umístěný v nadpraží vrat,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416"/>
        </w:tabs>
        <w:spacing w:after="220"/>
        <w:ind w:left="540" w:hanging="540"/>
        <w:jc w:val="both"/>
      </w:pPr>
      <w:r>
        <w:rPr>
          <w:rStyle w:val="Zkladntext"/>
        </w:rPr>
        <w:t>každé vratové křídlo je individuálně vyváženo torzní pružinou. P</w:t>
      </w:r>
      <w:r>
        <w:rPr>
          <w:rStyle w:val="Zkladntext"/>
        </w:rPr>
        <w:t>řenos pohybu je realizován pomocí lanových bubnů a lan uchycených v konzole spodní lamely vrat.</w:t>
      </w:r>
    </w:p>
    <w:p w:rsidR="00726835" w:rsidRDefault="00107083">
      <w:pPr>
        <w:pStyle w:val="Zkladntext1"/>
      </w:pPr>
      <w:r>
        <w:rPr>
          <w:rStyle w:val="Zkladntext"/>
          <w:u w:val="single"/>
        </w:rPr>
        <w:t>Bezpečnostní prvky</w:t>
      </w:r>
    </w:p>
    <w:p w:rsidR="00726835" w:rsidRDefault="00107083">
      <w:pPr>
        <w:pStyle w:val="Zkladntext1"/>
        <w:spacing w:after="0" w:line="252" w:lineRule="auto"/>
        <w:ind w:left="540"/>
        <w:jc w:val="both"/>
      </w:pPr>
      <w:r>
        <w:rPr>
          <w:rStyle w:val="Zkladntext"/>
        </w:rPr>
        <w:t>pojistka při prasknutí pružiny a pojistka při prasknutí lana (zabraňují pádu vrat při poškození pružiny, resp. lanka),</w:t>
      </w:r>
    </w:p>
    <w:p w:rsidR="00726835" w:rsidRDefault="00107083">
      <w:pPr>
        <w:pStyle w:val="Zkladntext1"/>
        <w:spacing w:line="252" w:lineRule="auto"/>
        <w:ind w:left="540"/>
        <w:jc w:val="both"/>
      </w:pPr>
      <w:r>
        <w:rPr>
          <w:rStyle w:val="Zkladntext"/>
        </w:rPr>
        <w:t xml:space="preserve">optická závora ve </w:t>
      </w:r>
      <w:r>
        <w:rPr>
          <w:rStyle w:val="Zkladntext"/>
        </w:rPr>
        <w:t>výšce 650 mm od podlahy pro blokaci pohybu sekčních vrat.</w:t>
      </w:r>
    </w:p>
    <w:p w:rsidR="00726835" w:rsidRDefault="00107083">
      <w:pPr>
        <w:pStyle w:val="Zkladntext1"/>
      </w:pPr>
      <w:r>
        <w:rPr>
          <w:rStyle w:val="Zkladntext"/>
          <w:u w:val="single"/>
        </w:rPr>
        <w:t>Ovládání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763"/>
        </w:tabs>
        <w:spacing w:after="0"/>
        <w:ind w:left="540" w:hanging="340"/>
      </w:pPr>
      <w:r>
        <w:rPr>
          <w:rStyle w:val="Zkladntext"/>
        </w:rPr>
        <w:t xml:space="preserve">hřídelový průmyslový pohon plný automat bezpečnostní </w:t>
      </w:r>
      <w:proofErr w:type="spellStart"/>
      <w:r>
        <w:rPr>
          <w:rStyle w:val="Zkladntext"/>
        </w:rPr>
        <w:t>optolišta</w:t>
      </w:r>
      <w:proofErr w:type="spellEnd"/>
      <w:r>
        <w:rPr>
          <w:rStyle w:val="Zkladntext"/>
        </w:rPr>
        <w:t>, trvalé zabezpečení přes aretaci stop- klíč, časové relé, fotobuňky navíc pro automatické zavírání vrat při průjezdu fotobuňko</w:t>
      </w:r>
      <w:r>
        <w:rPr>
          <w:rStyle w:val="Zkladntext"/>
        </w:rPr>
        <w:t>u rozpojitelná spojka motoru,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hřídelový průmyslový pohon umístěný na stěně bez řetězového převodu (přímý pohon),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nouzové odblokování a (ruční) ovládání vrat pomocí řetězu (nikoliv háků),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 xml:space="preserve">ovládání; vnitřní </w:t>
      </w:r>
      <w:proofErr w:type="spellStart"/>
      <w:r>
        <w:rPr>
          <w:rStyle w:val="Zkladntext"/>
        </w:rPr>
        <w:t>trajtlačítkc</w:t>
      </w:r>
      <w:proofErr w:type="spellEnd"/>
      <w:r>
        <w:rPr>
          <w:rStyle w:val="Zkladntext"/>
        </w:rPr>
        <w:t xml:space="preserve"> na řídící jednotce (Nahoru. Stop. Dolů</w:t>
      </w:r>
      <w:r>
        <w:rPr>
          <w:rStyle w:val="Zkladntext"/>
        </w:rPr>
        <w:t>); dálkový ovládač,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 xml:space="preserve">jištění spodní hrany vrat- optické, bezpečnostní </w:t>
      </w:r>
      <w:proofErr w:type="spellStart"/>
      <w:r>
        <w:rPr>
          <w:rStyle w:val="Zkladntext"/>
        </w:rPr>
        <w:t>optozávora</w:t>
      </w:r>
      <w:proofErr w:type="spellEnd"/>
      <w:r>
        <w:rPr>
          <w:rStyle w:val="Zkladntext"/>
        </w:rPr>
        <w:t xml:space="preserve"> (dle ČSN EN 13241-1),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signalizace stavu vrat (otevřeno, uzavřeno),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763"/>
        </w:tabs>
        <w:spacing w:after="0"/>
        <w:ind w:left="540" w:hanging="340"/>
      </w:pPr>
      <w:r>
        <w:rPr>
          <w:rStyle w:val="Zkladntext"/>
        </w:rPr>
        <w:t xml:space="preserve">řídící jednotka programovatelná, vstup pro </w:t>
      </w:r>
      <w:proofErr w:type="spellStart"/>
      <w:r>
        <w:rPr>
          <w:rStyle w:val="Zkladntext"/>
        </w:rPr>
        <w:t>bezpotencionálový</w:t>
      </w:r>
      <w:proofErr w:type="spellEnd"/>
      <w:r>
        <w:rPr>
          <w:rStyle w:val="Zkladntext"/>
        </w:rPr>
        <w:t xml:space="preserve"> kontakt od ACS i EZS, možnost časového programov</w:t>
      </w:r>
      <w:r>
        <w:rPr>
          <w:rStyle w:val="Zkladntext"/>
        </w:rPr>
        <w:t>ání a reakcí na specifikované události,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763"/>
        </w:tabs>
        <w:spacing w:after="0"/>
        <w:ind w:left="540" w:hanging="340"/>
      </w:pPr>
      <w:r>
        <w:rPr>
          <w:rStyle w:val="Zkladntext"/>
        </w:rPr>
        <w:t>signalizační zařízení (semafory) venku a uvnitř; při zavřených vratech neaktivní. Umístění 1850 mm na střed semaforu.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rychlost otevření 7 sec.,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měkké dojezdy vrat ve spodní i horní poloze,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příprava na zabezpečení EZS</w:t>
      </w:r>
      <w:r>
        <w:rPr>
          <w:rStyle w:val="Zkladntext"/>
        </w:rPr>
        <w:t>,</w:t>
      </w:r>
    </w:p>
    <w:p w:rsidR="00726835" w:rsidRDefault="00107083">
      <w:pPr>
        <w:pStyle w:val="Zkladntext1"/>
        <w:numPr>
          <w:ilvl w:val="0"/>
          <w:numId w:val="8"/>
        </w:numPr>
        <w:tabs>
          <w:tab w:val="left" w:pos="563"/>
        </w:tabs>
        <w:spacing w:after="0"/>
        <w:ind w:firstLine="200"/>
      </w:pPr>
      <w:r>
        <w:rPr>
          <w:rStyle w:val="Zkladntext"/>
        </w:rPr>
        <w:t>pružiny: cykly 100 000.</w:t>
      </w:r>
    </w:p>
    <w:sectPr w:rsidR="00726835">
      <w:pgSz w:w="11900" w:h="16840"/>
      <w:pgMar w:top="1576" w:right="1521" w:bottom="1433" w:left="1498" w:header="11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83" w:rsidRDefault="00107083">
      <w:r>
        <w:separator/>
      </w:r>
    </w:p>
  </w:endnote>
  <w:endnote w:type="continuationSeparator" w:id="0">
    <w:p w:rsidR="00107083" w:rsidRDefault="0010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35" w:rsidRDefault="0010708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10011410</wp:posOffset>
              </wp:positionV>
              <wp:extent cx="431927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2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6835" w:rsidRDefault="00107083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01-25: Rekonstrukce VZ Blansko - projektová dokumentace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7.pt;margin-top:788.30000000000007pt;width:340.10000000000002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21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01-25: Rekonstrukce VZ Blansko - projektová dokumentace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83" w:rsidRDefault="00107083"/>
  </w:footnote>
  <w:footnote w:type="continuationSeparator" w:id="0">
    <w:p w:rsidR="00107083" w:rsidRDefault="001070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570"/>
    <w:multiLevelType w:val="multilevel"/>
    <w:tmpl w:val="98C41A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60A97"/>
    <w:multiLevelType w:val="multilevel"/>
    <w:tmpl w:val="F5AEA7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93551"/>
    <w:multiLevelType w:val="multilevel"/>
    <w:tmpl w:val="453675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7A1031"/>
    <w:multiLevelType w:val="multilevel"/>
    <w:tmpl w:val="CDBACD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E8164A"/>
    <w:multiLevelType w:val="multilevel"/>
    <w:tmpl w:val="973AFC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72B91"/>
    <w:multiLevelType w:val="multilevel"/>
    <w:tmpl w:val="3386E5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BC269C"/>
    <w:multiLevelType w:val="multilevel"/>
    <w:tmpl w:val="EC0875C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523994"/>
    <w:multiLevelType w:val="multilevel"/>
    <w:tmpl w:val="331E61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5"/>
    <w:rsid w:val="00107083"/>
    <w:rsid w:val="003F6085"/>
    <w:rsid w:val="007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23B24-7891-41E9-AB31-C7E20FC5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20" w:line="209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line="214" w:lineRule="auto"/>
      <w:outlineLvl w:val="2"/>
    </w:pPr>
    <w:rPr>
      <w:rFonts w:ascii="Calibri" w:eastAsia="Calibri" w:hAnsi="Calibri" w:cs="Calibri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after="60" w:line="154" w:lineRule="auto"/>
    </w:pPr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130" w:lineRule="auto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60"/>
      <w:ind w:right="560"/>
      <w:jc w:val="right"/>
      <w:outlineLvl w:val="0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60"/>
      <w:ind w:right="560"/>
      <w:jc w:val="right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pacing w:after="28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pacing w:after="1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2671</Words>
  <Characters>15763</Characters>
  <Application>Microsoft Office Word</Application>
  <DocSecurity>0</DocSecurity>
  <Lines>131</Lines>
  <Paragraphs>36</Paragraphs>
  <ScaleCrop>false</ScaleCrop>
  <Company>HP Inc.</Company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2025-05-16T12:15:00Z</dcterms:created>
  <dcterms:modified xsi:type="dcterms:W3CDTF">2025-05-16T12:16:00Z</dcterms:modified>
</cp:coreProperties>
</file>