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49E45" w14:textId="691AE80C" w:rsidR="00665ACC" w:rsidRDefault="00665ACC" w:rsidP="004018FC">
      <w:pPr>
        <w:jc w:val="center"/>
        <w:rPr>
          <w:b/>
          <w:bCs/>
          <w:sz w:val="24"/>
          <w:szCs w:val="32"/>
        </w:rPr>
      </w:pPr>
      <w:bookmarkStart w:id="0" w:name="_Toc88744532"/>
      <w:r w:rsidRPr="0003233D">
        <w:rPr>
          <w:b/>
          <w:bCs/>
          <w:sz w:val="24"/>
          <w:szCs w:val="32"/>
        </w:rPr>
        <w:t>SMLOUVA O POSKYTOVÁNÍ PRÁVNÍCH SLUŽEB</w:t>
      </w:r>
    </w:p>
    <w:p w14:paraId="1CD14A37" w14:textId="59DBA90F" w:rsidR="00C45BEA" w:rsidRDefault="00C45BEA" w:rsidP="00C45BEA">
      <w:pPr>
        <w:spacing w:after="2" w:line="274" w:lineRule="auto"/>
        <w:jc w:val="center"/>
      </w:pPr>
      <w:r>
        <w:t>uzavřená podle § 1746 odst. 2 zákona č. 89/2012 Sb., občanský zákoník, ve znění pozdějších předpisů, níže uvedeného dne a roku mezi smluvními stranami (dále jen „</w:t>
      </w:r>
      <w:r w:rsidRPr="004F4863">
        <w:rPr>
          <w:b/>
          <w:bCs/>
        </w:rPr>
        <w:t>smlouva</w:t>
      </w:r>
      <w:r>
        <w:t xml:space="preserve">“) </w:t>
      </w:r>
    </w:p>
    <w:p w14:paraId="7A90B734" w14:textId="5AD0E5D7" w:rsidR="00C45BEA" w:rsidRPr="0003233D" w:rsidRDefault="00C45BEA" w:rsidP="00C45BEA">
      <w:pPr>
        <w:jc w:val="center"/>
        <w:rPr>
          <w:b/>
          <w:bCs/>
        </w:rPr>
      </w:pPr>
      <w:r>
        <w:t xml:space="preserve"> č. smlouvy PVS: </w:t>
      </w:r>
      <w:r w:rsidR="002D1AB5" w:rsidRPr="002D1AB5">
        <w:t>0079</w:t>
      </w:r>
      <w:r w:rsidR="002D1AB5">
        <w:t>/</w:t>
      </w:r>
      <w:r w:rsidR="002D1AB5" w:rsidRPr="002D1AB5">
        <w:t>25</w:t>
      </w:r>
    </w:p>
    <w:p w14:paraId="4AD89375" w14:textId="46990DAF" w:rsidR="00665ACC" w:rsidRDefault="00665ACC" w:rsidP="004018FC">
      <w:pPr>
        <w:jc w:val="center"/>
      </w:pPr>
    </w:p>
    <w:p w14:paraId="719DD9E6" w14:textId="77777777" w:rsidR="00665ACC" w:rsidRDefault="00665ACC" w:rsidP="004018FC">
      <w:pPr>
        <w:jc w:val="center"/>
      </w:pPr>
    </w:p>
    <w:p w14:paraId="4FBD4A0F" w14:textId="3886F425" w:rsidR="00665ACC" w:rsidRPr="00736DD4" w:rsidRDefault="00736DD4" w:rsidP="004018FC">
      <w:pPr>
        <w:jc w:val="center"/>
      </w:pPr>
      <w:r w:rsidRPr="00736DD4">
        <w:rPr>
          <w:b/>
          <w:bCs/>
        </w:rPr>
        <w:t>Pražská vodohospodářská společnost a.s.</w:t>
      </w:r>
      <w:r>
        <w:t>,</w:t>
      </w:r>
    </w:p>
    <w:p w14:paraId="2BCF04E1" w14:textId="470A4552" w:rsidR="00665ACC" w:rsidRDefault="00665ACC" w:rsidP="004018FC">
      <w:pPr>
        <w:jc w:val="center"/>
      </w:pPr>
      <w:r>
        <w:t xml:space="preserve">se sídlem </w:t>
      </w:r>
      <w:r w:rsidR="00736DD4" w:rsidRPr="004C2957">
        <w:t>Evropská 866/67, Vokovice, 160 00 Praha 6</w:t>
      </w:r>
    </w:p>
    <w:p w14:paraId="3FFB0700" w14:textId="602A188A" w:rsidR="00665ACC" w:rsidRDefault="00665ACC" w:rsidP="004018FC">
      <w:pPr>
        <w:jc w:val="center"/>
      </w:pPr>
      <w:r>
        <w:t xml:space="preserve">IČO: </w:t>
      </w:r>
      <w:r w:rsidR="00736DD4" w:rsidRPr="004C2957">
        <w:t>256 56</w:t>
      </w:r>
      <w:r w:rsidR="00F65E82">
        <w:t> </w:t>
      </w:r>
      <w:r w:rsidR="00736DD4" w:rsidRPr="004C2957">
        <w:t>112</w:t>
      </w:r>
      <w:r w:rsidR="00F65E82">
        <w:t>,</w:t>
      </w:r>
      <w:r w:rsidR="00D13DDF" w:rsidRPr="004C2957">
        <w:t xml:space="preserve"> DIČ</w:t>
      </w:r>
      <w:r w:rsidR="00F65E82">
        <w:t>:</w:t>
      </w:r>
      <w:r w:rsidR="00D13DDF" w:rsidRPr="004C2957">
        <w:t xml:space="preserve"> CZ25656112</w:t>
      </w:r>
    </w:p>
    <w:p w14:paraId="1C486DFC" w14:textId="594FC554" w:rsidR="00665ACC" w:rsidRDefault="00665ACC" w:rsidP="004018FC">
      <w:pPr>
        <w:jc w:val="center"/>
      </w:pPr>
      <w:r>
        <w:t xml:space="preserve">zapsaná v obchodním rejstříku vedeném </w:t>
      </w:r>
      <w:r w:rsidR="00736DD4">
        <w:t>Městským soudem v Praze</w:t>
      </w:r>
      <w:r>
        <w:t xml:space="preserve">, </w:t>
      </w:r>
      <w:r w:rsidR="00736DD4">
        <w:t xml:space="preserve">spisová značka </w:t>
      </w:r>
      <w:r w:rsidR="00736DD4" w:rsidRPr="00736DD4">
        <w:t>B 5290</w:t>
      </w:r>
    </w:p>
    <w:p w14:paraId="21B00E00" w14:textId="0A21E7C4" w:rsidR="00665ACC" w:rsidRDefault="00665ACC" w:rsidP="004018FC">
      <w:pPr>
        <w:jc w:val="center"/>
      </w:pPr>
      <w:r>
        <w:t xml:space="preserve">zastoupena </w:t>
      </w:r>
      <w:r w:rsidR="00886CBE">
        <w:t xml:space="preserve">Ing. Pavlem Válkem, MBA, předsedou představenstva </w:t>
      </w:r>
      <w:r w:rsidR="00D032DF">
        <w:t xml:space="preserve">a </w:t>
      </w:r>
      <w:r w:rsidR="00886CBE">
        <w:t>Ing. Petrem Burešem, členem představe</w:t>
      </w:r>
      <w:r w:rsidR="00A2132B">
        <w:t>n</w:t>
      </w:r>
      <w:r w:rsidR="00886CBE">
        <w:t>stva</w:t>
      </w:r>
    </w:p>
    <w:p w14:paraId="7A15EB57" w14:textId="77777777" w:rsidR="00665ACC" w:rsidRDefault="00665ACC" w:rsidP="004018FC">
      <w:pPr>
        <w:jc w:val="center"/>
      </w:pPr>
      <w:r>
        <w:t>(dále jen „</w:t>
      </w:r>
      <w:r w:rsidRPr="00736DD4">
        <w:rPr>
          <w:b/>
          <w:bCs/>
        </w:rPr>
        <w:t>Klient</w:t>
      </w:r>
      <w:r>
        <w:t>“)</w:t>
      </w:r>
    </w:p>
    <w:p w14:paraId="35F2648A" w14:textId="77777777" w:rsidR="00665ACC" w:rsidRDefault="00665ACC" w:rsidP="004018FC">
      <w:pPr>
        <w:jc w:val="center"/>
      </w:pPr>
    </w:p>
    <w:p w14:paraId="2F07C665" w14:textId="77777777" w:rsidR="00665ACC" w:rsidRDefault="00665ACC" w:rsidP="004018FC">
      <w:pPr>
        <w:jc w:val="center"/>
      </w:pPr>
      <w:r>
        <w:t>a</w:t>
      </w:r>
    </w:p>
    <w:p w14:paraId="5852D660" w14:textId="77777777" w:rsidR="00665ACC" w:rsidRDefault="00665ACC" w:rsidP="004018FC">
      <w:pPr>
        <w:jc w:val="center"/>
      </w:pPr>
    </w:p>
    <w:p w14:paraId="7CF6F7DD" w14:textId="6B12514C" w:rsidR="00665ACC" w:rsidRPr="004018FC" w:rsidRDefault="00AF28B0" w:rsidP="004018FC">
      <w:pPr>
        <w:jc w:val="center"/>
        <w:rPr>
          <w:b/>
          <w:bCs/>
        </w:rPr>
      </w:pPr>
      <w:r>
        <w:rPr>
          <w:b/>
          <w:bCs/>
        </w:rPr>
        <w:t>PORTOS, advokátní kancelář s.r.o.</w:t>
      </w:r>
    </w:p>
    <w:p w14:paraId="298FD512" w14:textId="08605B2A" w:rsidR="00665ACC" w:rsidRDefault="00665ACC" w:rsidP="004018FC">
      <w:pPr>
        <w:jc w:val="center"/>
      </w:pPr>
      <w:r>
        <w:t xml:space="preserve">se sídlem </w:t>
      </w:r>
      <w:r w:rsidR="00AF28B0">
        <w:t>Hvězdova 1716/2b, Nusle, 140 00 Praha 4</w:t>
      </w:r>
    </w:p>
    <w:p w14:paraId="0DEDC9B7" w14:textId="49FC4A3D" w:rsidR="00665ACC" w:rsidRDefault="00665ACC" w:rsidP="004018FC">
      <w:pPr>
        <w:jc w:val="center"/>
      </w:pPr>
      <w:r>
        <w:t xml:space="preserve">IČO: </w:t>
      </w:r>
      <w:r w:rsidR="00AF28B0" w:rsidRPr="003F12E1">
        <w:t>481</w:t>
      </w:r>
      <w:r w:rsidR="00AF28B0">
        <w:t xml:space="preserve"> </w:t>
      </w:r>
      <w:r w:rsidR="00AF28B0" w:rsidRPr="003F12E1">
        <w:t>18</w:t>
      </w:r>
      <w:r w:rsidR="00F65E82">
        <w:t> </w:t>
      </w:r>
      <w:r w:rsidR="00AF28B0" w:rsidRPr="003F12E1">
        <w:t>753</w:t>
      </w:r>
      <w:r w:rsidR="00F65E82">
        <w:t>,</w:t>
      </w:r>
      <w:r w:rsidR="00AC2909" w:rsidRPr="003C43E6">
        <w:t xml:space="preserve"> </w:t>
      </w:r>
      <w:r w:rsidR="00D13DDF">
        <w:t>DIČ</w:t>
      </w:r>
      <w:r w:rsidR="00F65E82">
        <w:t>:</w:t>
      </w:r>
      <w:r w:rsidR="00D13DDF">
        <w:t xml:space="preserve"> </w:t>
      </w:r>
      <w:r w:rsidR="00AF28B0">
        <w:t>CZ</w:t>
      </w:r>
      <w:r w:rsidR="00AF28B0" w:rsidRPr="003F12E1">
        <w:t>48118753</w:t>
      </w:r>
    </w:p>
    <w:p w14:paraId="76603177" w14:textId="59A7279D" w:rsidR="00665ACC" w:rsidRDefault="00665ACC" w:rsidP="004018FC">
      <w:pPr>
        <w:jc w:val="center"/>
      </w:pPr>
      <w:r>
        <w:t xml:space="preserve">zapsaná v obchodním rejstříku vedeném </w:t>
      </w:r>
      <w:r w:rsidR="00AF28B0">
        <w:t>Městským soudem v Praze</w:t>
      </w:r>
      <w:r>
        <w:t xml:space="preserve">, </w:t>
      </w:r>
      <w:r w:rsidR="00736DD4">
        <w:t>spisová značka</w:t>
      </w:r>
      <w:r>
        <w:t xml:space="preserve"> </w:t>
      </w:r>
      <w:r w:rsidR="00AF28B0">
        <w:t>C 212268</w:t>
      </w:r>
    </w:p>
    <w:p w14:paraId="6356A714" w14:textId="729F93C3" w:rsidR="00665ACC" w:rsidRDefault="00665ACC" w:rsidP="004018FC">
      <w:pPr>
        <w:jc w:val="center"/>
      </w:pPr>
      <w:r>
        <w:t xml:space="preserve">zastoupena </w:t>
      </w:r>
      <w:r w:rsidR="00AF28B0">
        <w:t>JUDr. Jaromírem Císařem, Ph.D.</w:t>
      </w:r>
    </w:p>
    <w:p w14:paraId="0E54860E" w14:textId="77777777" w:rsidR="00665ACC" w:rsidRDefault="00665ACC" w:rsidP="004018FC">
      <w:pPr>
        <w:jc w:val="center"/>
      </w:pPr>
      <w:r>
        <w:t>(dále jen „</w:t>
      </w:r>
      <w:r w:rsidRPr="00736DD4">
        <w:rPr>
          <w:b/>
          <w:bCs/>
        </w:rPr>
        <w:t>Advokát</w:t>
      </w:r>
      <w:r>
        <w:t>“)</w:t>
      </w:r>
    </w:p>
    <w:p w14:paraId="5BA78E1E" w14:textId="77777777" w:rsidR="00665ACC" w:rsidRDefault="00665ACC" w:rsidP="004018FC">
      <w:pPr>
        <w:jc w:val="center"/>
      </w:pPr>
    </w:p>
    <w:p w14:paraId="4603F63B" w14:textId="77777777" w:rsidR="00665ACC" w:rsidRDefault="00665ACC" w:rsidP="004018FC">
      <w:pPr>
        <w:jc w:val="center"/>
      </w:pPr>
      <w:r>
        <w:t>(Klient a Advokát dále společně jen „</w:t>
      </w:r>
      <w:r w:rsidRPr="00736DD4">
        <w:rPr>
          <w:b/>
          <w:bCs/>
        </w:rPr>
        <w:t>Smluvní strany</w:t>
      </w:r>
      <w:r>
        <w:t>“)</w:t>
      </w:r>
    </w:p>
    <w:p w14:paraId="210A0D67" w14:textId="77777777" w:rsidR="00665ACC" w:rsidRDefault="00665ACC" w:rsidP="004018FC">
      <w:pPr>
        <w:jc w:val="center"/>
      </w:pPr>
    </w:p>
    <w:p w14:paraId="19B0E556" w14:textId="77777777" w:rsidR="00665ACC" w:rsidRDefault="00665ACC" w:rsidP="004018FC">
      <w:pPr>
        <w:jc w:val="center"/>
      </w:pPr>
      <w:r>
        <w:t>uzavírají níže uvedeného dne, měsíce a roku</w:t>
      </w:r>
    </w:p>
    <w:p w14:paraId="325AE192" w14:textId="77777777" w:rsidR="00665ACC" w:rsidRDefault="00665ACC" w:rsidP="004018FC">
      <w:pPr>
        <w:jc w:val="center"/>
      </w:pPr>
      <w:r>
        <w:t>v režimu zákona č. 85/1996 Sb., o advokacii, ve znění pozdějších předpisů (dále jen „</w:t>
      </w:r>
      <w:r w:rsidRPr="00736DD4">
        <w:rPr>
          <w:b/>
          <w:bCs/>
        </w:rPr>
        <w:t>zákon o advokacii</w:t>
      </w:r>
      <w:r>
        <w:t>“),</w:t>
      </w:r>
    </w:p>
    <w:p w14:paraId="638C62E5" w14:textId="77777777" w:rsidR="00665ACC" w:rsidRDefault="00665ACC" w:rsidP="004018FC">
      <w:pPr>
        <w:jc w:val="center"/>
      </w:pPr>
    </w:p>
    <w:p w14:paraId="1BBAE8A0" w14:textId="77777777" w:rsidR="00665ACC" w:rsidRDefault="00665ACC" w:rsidP="004018FC">
      <w:pPr>
        <w:jc w:val="center"/>
      </w:pPr>
      <w:r>
        <w:t>tuto</w:t>
      </w:r>
    </w:p>
    <w:p w14:paraId="6C7AF825" w14:textId="77777777" w:rsidR="00665ACC" w:rsidRDefault="00665ACC" w:rsidP="004018FC">
      <w:pPr>
        <w:jc w:val="center"/>
      </w:pPr>
    </w:p>
    <w:p w14:paraId="448EA238" w14:textId="77777777" w:rsidR="00665ACC" w:rsidRDefault="00665ACC" w:rsidP="004018FC">
      <w:pPr>
        <w:jc w:val="center"/>
      </w:pPr>
      <w:r>
        <w:t>smlouvu o poskytování právních služeb</w:t>
      </w:r>
    </w:p>
    <w:p w14:paraId="6C95E97B" w14:textId="2B79AF67" w:rsidR="00665ACC" w:rsidRDefault="00665ACC" w:rsidP="004018FC">
      <w:pPr>
        <w:jc w:val="center"/>
      </w:pPr>
      <w:r>
        <w:t>(dále jen „</w:t>
      </w:r>
      <w:r w:rsidRPr="00736DD4">
        <w:rPr>
          <w:b/>
          <w:bCs/>
        </w:rPr>
        <w:t>Smlouva</w:t>
      </w:r>
      <w:r>
        <w:t>“):</w:t>
      </w:r>
    </w:p>
    <w:p w14:paraId="764AD908" w14:textId="77777777" w:rsidR="00665ACC" w:rsidRDefault="00665ACC" w:rsidP="0080328E">
      <w:pPr>
        <w:jc w:val="both"/>
      </w:pPr>
      <w:r>
        <w:br w:type="page"/>
      </w:r>
    </w:p>
    <w:p w14:paraId="6E21EF21" w14:textId="6C86BB6A" w:rsidR="00392A4D" w:rsidRDefault="00665ACC" w:rsidP="008B1581">
      <w:pPr>
        <w:pStyle w:val="Nadpis1"/>
      </w:pPr>
      <w:r>
        <w:lastRenderedPageBreak/>
        <w:t>Př</w:t>
      </w:r>
      <w:r w:rsidR="00392A4D">
        <w:t>edmět Smlouvy</w:t>
      </w:r>
      <w:bookmarkEnd w:id="0"/>
    </w:p>
    <w:p w14:paraId="62D6696B" w14:textId="01F74970" w:rsidR="00C45632" w:rsidRDefault="000E2F7B" w:rsidP="00C45632">
      <w:pPr>
        <w:pStyle w:val="Nadpis2"/>
        <w:jc w:val="both"/>
      </w:pPr>
      <w:bookmarkStart w:id="1" w:name="_Ref143700979"/>
      <w:r>
        <w:t>Předmětem této Smlouvy je poskytování právních služeb Advokátem Klientovi spočívajících</w:t>
      </w:r>
      <w:r w:rsidR="00C45632">
        <w:t xml:space="preserve"> </w:t>
      </w:r>
      <w:r w:rsidR="00F65E82">
        <w:t xml:space="preserve">                   </w:t>
      </w:r>
      <w:r>
        <w:t>v</w:t>
      </w:r>
      <w:r w:rsidR="00585CEC">
        <w:t xml:space="preserve">e zpracování </w:t>
      </w:r>
      <w:r w:rsidR="000572B6">
        <w:t>Zprávy o udržitelnosti</w:t>
      </w:r>
      <w:r>
        <w:t xml:space="preserve"> v </w:t>
      </w:r>
      <w:r w:rsidR="00C45632">
        <w:t>s</w:t>
      </w:r>
      <w:r>
        <w:t xml:space="preserve">ouvislosti </w:t>
      </w:r>
      <w:r w:rsidR="0079478A">
        <w:t>v souladu se</w:t>
      </w:r>
      <w:r w:rsidR="00C45632">
        <w:t xml:space="preserve"> směrnic</w:t>
      </w:r>
      <w:r w:rsidR="0079478A">
        <w:t>í</w:t>
      </w:r>
      <w:r w:rsidR="00C45632">
        <w:t xml:space="preserve"> Evropského parlamentu a Rady (EU) 2022/2464 ze dne 14. prosince 2022, kterou se mění nařízení (EU) č. 537/2014, směrnice 2004/109/ES, směrnice 2006/43/ES a směrnice 2013/34/EU, pokud jde o podávání zpráv podniků o</w:t>
      </w:r>
      <w:r w:rsidR="00C766F5">
        <w:t> </w:t>
      </w:r>
      <w:r w:rsidR="00C45632">
        <w:t>udržitelnosti („</w:t>
      </w:r>
      <w:r w:rsidR="00C45632">
        <w:rPr>
          <w:b/>
          <w:bCs/>
        </w:rPr>
        <w:t>CSRD</w:t>
      </w:r>
      <w:r w:rsidR="00C45632">
        <w:t>“)</w:t>
      </w:r>
      <w:r w:rsidR="000572B6">
        <w:t>,</w:t>
      </w:r>
      <w:r w:rsidR="00C45632">
        <w:t xml:space="preserve"> a to zejména</w:t>
      </w:r>
      <w:bookmarkEnd w:id="1"/>
      <w:r w:rsidR="0079478A">
        <w:t>:</w:t>
      </w:r>
    </w:p>
    <w:p w14:paraId="03A04B38" w14:textId="2A620963" w:rsidR="00357891" w:rsidRDefault="0026383B" w:rsidP="000F42F6">
      <w:pPr>
        <w:pStyle w:val="Nadpis3"/>
        <w:spacing w:before="60" w:after="60"/>
        <w:jc w:val="both"/>
      </w:pPr>
      <w:r w:rsidRPr="00545EC0">
        <w:rPr>
          <w:b/>
          <w:bCs/>
        </w:rPr>
        <w:t>Revize Zprávy za rok 2022-2023 s ověřením platnosti oblastí dvojité materiality a</w:t>
      </w:r>
      <w:r w:rsidR="00C766F5">
        <w:rPr>
          <w:b/>
          <w:bCs/>
        </w:rPr>
        <w:t> </w:t>
      </w:r>
      <w:r w:rsidRPr="00545EC0">
        <w:rPr>
          <w:b/>
          <w:bCs/>
        </w:rPr>
        <w:t xml:space="preserve">dostupnosti datových bodů k přípravě Zprávy o udržitelnosti za rok </w:t>
      </w:r>
      <w:r w:rsidR="00545EC0" w:rsidRPr="00545EC0">
        <w:rPr>
          <w:b/>
          <w:bCs/>
        </w:rPr>
        <w:t>2024</w:t>
      </w:r>
      <w:r w:rsidR="00440F33" w:rsidRPr="00440F33">
        <w:t>:</w:t>
      </w:r>
      <w:r w:rsidR="00545EC0">
        <w:rPr>
          <w:b/>
          <w:bCs/>
        </w:rPr>
        <w:t xml:space="preserve"> </w:t>
      </w:r>
      <w:r w:rsidR="00545EC0" w:rsidRPr="00545EC0">
        <w:t>v</w:t>
      </w:r>
      <w:r w:rsidR="00545EC0">
        <w:t xml:space="preserve"> rámci této </w:t>
      </w:r>
      <w:r w:rsidR="00C849F9">
        <w:t>části budou</w:t>
      </w:r>
      <w:r w:rsidR="00545EC0">
        <w:t xml:space="preserve"> zrealiz</w:t>
      </w:r>
      <w:r w:rsidR="00C849F9">
        <w:t>ovány</w:t>
      </w:r>
      <w:r w:rsidR="00545EC0">
        <w:t xml:space="preserve"> séri</w:t>
      </w:r>
      <w:r w:rsidR="00C849F9">
        <w:t>e</w:t>
      </w:r>
      <w:r w:rsidR="00545EC0">
        <w:t xml:space="preserve"> rozhovorů s klíčovými osobami PVS a PVK k pochopení vývoje zásadních iniciativ a projektů v uvedeném reportovaném období. Cílem bude určit a popsat stav a vstupní zdroje informací a dat. V rámci této fáze </w:t>
      </w:r>
      <w:r w:rsidR="002E7D4D">
        <w:t>musí</w:t>
      </w:r>
      <w:r w:rsidR="00545EC0">
        <w:t xml:space="preserve"> také </w:t>
      </w:r>
      <w:r w:rsidR="002E7D4D">
        <w:t xml:space="preserve">proběhnout </w:t>
      </w:r>
      <w:r w:rsidR="00545EC0">
        <w:t xml:space="preserve">upřesnění procesu přípravy Zprávy o udržitelnosti za rok 2024 včetně sladění očekávání a možností součinnosti </w:t>
      </w:r>
      <w:r w:rsidR="005F6A91">
        <w:t xml:space="preserve">    </w:t>
      </w:r>
      <w:r w:rsidR="00545EC0">
        <w:t>na straně Klienta</w:t>
      </w:r>
      <w:r w:rsidR="002E7D4D">
        <w:t>.</w:t>
      </w:r>
    </w:p>
    <w:p w14:paraId="716BE00D" w14:textId="0CB1C4B1" w:rsidR="00357891" w:rsidRDefault="009552F8" w:rsidP="000F42F6">
      <w:pPr>
        <w:pStyle w:val="Nadpis3"/>
        <w:spacing w:before="60" w:after="60"/>
        <w:jc w:val="both"/>
      </w:pPr>
      <w:r>
        <w:rPr>
          <w:b/>
          <w:bCs/>
        </w:rPr>
        <w:t>A</w:t>
      </w:r>
      <w:r w:rsidR="00A31F3E" w:rsidRPr="00A31F3E">
        <w:rPr>
          <w:b/>
          <w:bCs/>
        </w:rPr>
        <w:t>ktualizace materiálních témat a cílené stakeholder dialogy ve vztahu k oblastem aktualizace</w:t>
      </w:r>
      <w:r w:rsidR="00A31F3E">
        <w:t xml:space="preserve">: </w:t>
      </w:r>
      <w:r w:rsidR="002E7D4D">
        <w:t>budou potv</w:t>
      </w:r>
      <w:r w:rsidR="00BA0672">
        <w:t>rzena</w:t>
      </w:r>
      <w:r w:rsidR="00A31F3E">
        <w:t xml:space="preserve"> materiální témata a </w:t>
      </w:r>
      <w:r w:rsidR="00BA0672">
        <w:t>včetně popisu</w:t>
      </w:r>
      <w:r w:rsidR="00A31F3E">
        <w:t xml:space="preserve"> a formalizovan</w:t>
      </w:r>
      <w:r w:rsidR="00BA0672">
        <w:t>ého</w:t>
      </w:r>
      <w:r w:rsidR="00A31F3E">
        <w:t xml:space="preserve"> proces</w:t>
      </w:r>
      <w:r w:rsidR="00BA0672">
        <w:t>u</w:t>
      </w:r>
      <w:r w:rsidR="00A31F3E">
        <w:t xml:space="preserve"> jejich aktualizace, včetně návrhu struktury řízení aktualizace témat pro potřeby příštích zpráv o</w:t>
      </w:r>
      <w:r w:rsidR="00C766F5">
        <w:t> </w:t>
      </w:r>
      <w:r w:rsidR="00A31F3E">
        <w:t xml:space="preserve">udržitelnosti. Pro potřeby validace témat </w:t>
      </w:r>
      <w:r w:rsidR="00383ACE">
        <w:t>je předpokládána</w:t>
      </w:r>
      <w:r w:rsidR="00A31F3E">
        <w:t xml:space="preserve"> realizac</w:t>
      </w:r>
      <w:r w:rsidR="00383ACE">
        <w:t>e</w:t>
      </w:r>
      <w:r w:rsidR="00A31F3E">
        <w:t xml:space="preserve"> cílených stakeholder dialogů (v prezenční nebo online formě), počet těchto dialogů bude určen v rámci </w:t>
      </w:r>
      <w:r w:rsidR="00524987">
        <w:t>předchozího kroku uvedeném v bodě 1 výše</w:t>
      </w:r>
      <w:r w:rsidR="00A31F3E">
        <w:t>.</w:t>
      </w:r>
    </w:p>
    <w:p w14:paraId="2ACFD8C6" w14:textId="479601A7" w:rsidR="00357891" w:rsidRDefault="00867B75" w:rsidP="000F42F6">
      <w:pPr>
        <w:pStyle w:val="Nadpis3"/>
        <w:spacing w:before="60" w:after="60"/>
        <w:jc w:val="both"/>
      </w:pPr>
      <w:r w:rsidRPr="00DC33B0">
        <w:rPr>
          <w:b/>
          <w:bCs/>
        </w:rPr>
        <w:t>Sběr a analýza informací a datových bodů pro potřeby aktualizace a přípravy Zprávy v PVS i PVK</w:t>
      </w:r>
      <w:r>
        <w:t xml:space="preserve">: </w:t>
      </w:r>
      <w:r w:rsidR="004E05C8">
        <w:t>s</w:t>
      </w:r>
      <w:r w:rsidR="00DC33B0">
        <w:t>krze identifikované osoby a vstupní datové a informační body proběhne sběr a</w:t>
      </w:r>
      <w:r w:rsidR="00C766F5">
        <w:t> </w:t>
      </w:r>
      <w:r w:rsidR="00DC33B0">
        <w:t>konsolidace informací a dat pro potřeby přípravy Zprávy o udržitelnosti za rok 2024. V této fázi</w:t>
      </w:r>
      <w:r w:rsidR="007703B1">
        <w:t xml:space="preserve"> je </w:t>
      </w:r>
      <w:r w:rsidR="00DC33B0">
        <w:t>předpokládá</w:t>
      </w:r>
      <w:r w:rsidR="007703B1">
        <w:t>na</w:t>
      </w:r>
      <w:r w:rsidR="00DC33B0">
        <w:t xml:space="preserve"> významnější součinnost Klient</w:t>
      </w:r>
      <w:r w:rsidR="007703B1">
        <w:t>a</w:t>
      </w:r>
      <w:r w:rsidR="00DC33B0">
        <w:t xml:space="preserve"> pro potřeby případného doplnění </w:t>
      </w:r>
      <w:r w:rsidR="005F6A91">
        <w:t xml:space="preserve">               </w:t>
      </w:r>
      <w:r w:rsidR="00DC33B0">
        <w:t>a upřesnění získaných informací a dat. V rámci této fáze zároveň budou navrženy možnosti řešení automatizace sběru a konsolidace významných dat pro potřeby dalších vykazovaných období.</w:t>
      </w:r>
    </w:p>
    <w:p w14:paraId="1E799D78" w14:textId="1C353618" w:rsidR="00DC33B0" w:rsidRDefault="00180898" w:rsidP="000F42F6">
      <w:pPr>
        <w:pStyle w:val="Nadpis3"/>
        <w:spacing w:before="60" w:after="60"/>
        <w:jc w:val="both"/>
      </w:pPr>
      <w:r w:rsidRPr="00180898">
        <w:rPr>
          <w:b/>
          <w:bCs/>
        </w:rPr>
        <w:t>Výpočet uhlíkové stopy PVS a konsolidace s PVK a zpracování metodiky EU Taxonomy PVS a PVK do Zprávy</w:t>
      </w:r>
      <w:r w:rsidR="00DC33B0">
        <w:t>:</w:t>
      </w:r>
      <w:r>
        <w:t xml:space="preserve"> bude proveden výpočet uhlíkové stopy PVS za rok 2024 </w:t>
      </w:r>
      <w:r w:rsidR="005F6A91">
        <w:t xml:space="preserve">  </w:t>
      </w:r>
      <w:r>
        <w:t>a následná konsolidace s výpočty uhlíkové stopy PVK. Ve zprávě o uhlíkové stopě za 2024 bude zohledněn a zobrazen i vývoj za poslední sledovaná období, zároveň budou doporučeny další kroky pro potřeby výpočtů v následujících letech. V této fázi budou dále zpracovány výsledky EU Taxonomy pro společnosti PVS a PVK, spolu s návrhem opatření a doporučení na další reportovací období</w:t>
      </w:r>
      <w:r w:rsidR="00DC33B0">
        <w:t>.</w:t>
      </w:r>
    </w:p>
    <w:p w14:paraId="0C0088BE" w14:textId="5E012476" w:rsidR="00F245F8" w:rsidRDefault="00F245F8" w:rsidP="000F42F6">
      <w:pPr>
        <w:pStyle w:val="Nadpis3"/>
        <w:spacing w:before="60" w:after="60"/>
        <w:jc w:val="both"/>
      </w:pPr>
      <w:r w:rsidRPr="00F245F8">
        <w:rPr>
          <w:b/>
          <w:bCs/>
        </w:rPr>
        <w:t>Příprava Zprávy o udržitelnosti za rok 2024</w:t>
      </w:r>
      <w:r>
        <w:t>: fináln</w:t>
      </w:r>
      <w:r w:rsidR="00BC1719">
        <w:t>í</w:t>
      </w:r>
      <w:r>
        <w:t xml:space="preserve"> konsolid</w:t>
      </w:r>
      <w:r w:rsidR="00BC1719">
        <w:t>ace</w:t>
      </w:r>
      <w:r>
        <w:t xml:space="preserve"> získan</w:t>
      </w:r>
      <w:r w:rsidR="00BC1719">
        <w:t>ých</w:t>
      </w:r>
      <w:r>
        <w:t xml:space="preserve"> informac</w:t>
      </w:r>
      <w:r w:rsidR="00BC1719">
        <w:t>í</w:t>
      </w:r>
      <w:r>
        <w:t xml:space="preserve"> a dat a </w:t>
      </w:r>
      <w:r w:rsidR="00BC1719">
        <w:t>soupis</w:t>
      </w:r>
      <w:r>
        <w:t xml:space="preserve"> první verzi Zprávy o udržitelnosti za rok 2024 k následnému případnému doplnění a</w:t>
      </w:r>
      <w:r w:rsidR="00C766F5">
        <w:t> </w:t>
      </w:r>
      <w:r>
        <w:t xml:space="preserve">upřesnění ze strany Klienta. </w:t>
      </w:r>
      <w:r w:rsidR="00BC1719">
        <w:t>Časový plán Klienta je takový</w:t>
      </w:r>
      <w:r>
        <w:t xml:space="preserve">, že </w:t>
      </w:r>
      <w:r w:rsidR="00521072">
        <w:t>K</w:t>
      </w:r>
      <w:r>
        <w:t xml:space="preserve">lient si přeje zprávu zveřejnit </w:t>
      </w:r>
      <w:r w:rsidR="008E7A64">
        <w:t>přibližně v polovině měsíce</w:t>
      </w:r>
      <w:r>
        <w:t xml:space="preserve"> června 2025.</w:t>
      </w:r>
    </w:p>
    <w:p w14:paraId="5E3BB6BB" w14:textId="5B41E998" w:rsidR="000E2F7B" w:rsidRDefault="000E2F7B" w:rsidP="007B5FD0">
      <w:pPr>
        <w:pStyle w:val="Nadpis3"/>
        <w:numPr>
          <w:ilvl w:val="0"/>
          <w:numId w:val="0"/>
        </w:numPr>
        <w:ind w:left="567"/>
        <w:jc w:val="both"/>
      </w:pPr>
      <w:r>
        <w:t>(dále jen „</w:t>
      </w:r>
      <w:r w:rsidRPr="007B5FD0">
        <w:rPr>
          <w:b/>
          <w:bCs/>
        </w:rPr>
        <w:t>Právní služby</w:t>
      </w:r>
      <w:r>
        <w:t>“).</w:t>
      </w:r>
    </w:p>
    <w:p w14:paraId="33DE17B3" w14:textId="0075576E" w:rsidR="000E2F7B" w:rsidRDefault="000E2F7B" w:rsidP="00C45632">
      <w:pPr>
        <w:pStyle w:val="Nadpis2"/>
        <w:jc w:val="both"/>
      </w:pPr>
      <w:r>
        <w:t>Právní služby budou Klientovi poskytovány zejména formou:</w:t>
      </w:r>
    </w:p>
    <w:p w14:paraId="6A3FF9DA" w14:textId="797B964F" w:rsidR="000E2F7B" w:rsidRPr="007B5FD0" w:rsidRDefault="000E2F7B" w:rsidP="00C45632">
      <w:pPr>
        <w:pStyle w:val="Nadpis3"/>
        <w:jc w:val="both"/>
      </w:pPr>
      <w:r w:rsidRPr="007B5FD0">
        <w:t>právních porad a konzultací;</w:t>
      </w:r>
    </w:p>
    <w:p w14:paraId="6ACE3D04" w14:textId="6CFBF820" w:rsidR="000E2F7B" w:rsidRPr="00D032DF" w:rsidRDefault="000E2F7B" w:rsidP="00D032DF">
      <w:pPr>
        <w:pStyle w:val="Nadpis3"/>
        <w:jc w:val="both"/>
      </w:pPr>
      <w:r w:rsidRPr="007B5FD0">
        <w:t>zpracování odborných analýz, právních rozborů a stanovisek</w:t>
      </w:r>
      <w:r w:rsidRPr="00D032DF">
        <w:t>; či</w:t>
      </w:r>
    </w:p>
    <w:p w14:paraId="0507BAF1" w14:textId="3EA99B42" w:rsidR="000E2F7B" w:rsidRPr="007B5FD0" w:rsidRDefault="000E2F7B" w:rsidP="00C45632">
      <w:pPr>
        <w:pStyle w:val="Nadpis3"/>
        <w:jc w:val="both"/>
      </w:pPr>
      <w:r w:rsidRPr="007B5FD0">
        <w:t>kontroly</w:t>
      </w:r>
      <w:r w:rsidR="007B5FD0" w:rsidRPr="007B5FD0">
        <w:t>, revize</w:t>
      </w:r>
      <w:r w:rsidRPr="007B5FD0">
        <w:t xml:space="preserve"> a zpracování smluv a dalších listin.</w:t>
      </w:r>
    </w:p>
    <w:p w14:paraId="79C8DC41" w14:textId="6404AF4E" w:rsidR="000E2F7B" w:rsidRDefault="000E2F7B" w:rsidP="00C45632">
      <w:pPr>
        <w:pStyle w:val="Nadpis2"/>
        <w:jc w:val="both"/>
      </w:pPr>
      <w:r>
        <w:t>Klient se zavazuje za řádně poskytnuté Právní služby uhradit Advokátovi odměnu dle podmínek stanovených dále v této Smlouvě.</w:t>
      </w:r>
    </w:p>
    <w:p w14:paraId="4B0A6926" w14:textId="43A050C7" w:rsidR="00371349" w:rsidRPr="00371349" w:rsidRDefault="00371349" w:rsidP="00A2132B">
      <w:pPr>
        <w:pStyle w:val="Nadpis2"/>
        <w:jc w:val="both"/>
      </w:pPr>
      <w:r w:rsidRPr="00371349">
        <w:t xml:space="preserve">Smluvní </w:t>
      </w:r>
      <w:r w:rsidR="003B4649">
        <w:t xml:space="preserve">strany </w:t>
      </w:r>
      <w:r w:rsidRPr="00371349">
        <w:t xml:space="preserve">ujednávají, že </w:t>
      </w:r>
      <w:r w:rsidR="00140DB7">
        <w:t xml:space="preserve">Právní </w:t>
      </w:r>
      <w:r w:rsidRPr="00371349">
        <w:t>služb</w:t>
      </w:r>
      <w:r w:rsidR="00521072">
        <w:t>y</w:t>
      </w:r>
      <w:r w:rsidRPr="00371349">
        <w:t xml:space="preserve"> dle odstavce 01.1, budou poskytovány na základě individuálních pokynů (objednávek) Klienta, přičemž Klient není povinen objednat veškeré činnosti </w:t>
      </w:r>
      <w:r w:rsidR="005F6A91">
        <w:t xml:space="preserve">    </w:t>
      </w:r>
      <w:r w:rsidRPr="00371349">
        <w:t>zde uvedené.</w:t>
      </w:r>
    </w:p>
    <w:p w14:paraId="73B6295E" w14:textId="77777777" w:rsidR="00FD01F9" w:rsidRDefault="00FD01F9">
      <w:pPr>
        <w:rPr>
          <w:rFonts w:eastAsiaTheme="majorEastAsia" w:cstheme="majorBidi"/>
          <w:b/>
          <w:szCs w:val="32"/>
        </w:rPr>
      </w:pPr>
      <w:r>
        <w:br w:type="page"/>
      </w:r>
    </w:p>
    <w:p w14:paraId="44FA05BB" w14:textId="4B897765" w:rsidR="000E2F7B" w:rsidRPr="000E2F7B" w:rsidRDefault="000E2F7B" w:rsidP="008B1581">
      <w:pPr>
        <w:pStyle w:val="Nadpis1"/>
      </w:pPr>
      <w:r w:rsidRPr="000E2F7B">
        <w:lastRenderedPageBreak/>
        <w:t>Povinnosti Advokáta</w:t>
      </w:r>
    </w:p>
    <w:p w14:paraId="4B46D810" w14:textId="40B84E34" w:rsidR="000E2F7B" w:rsidRDefault="000E2F7B" w:rsidP="0080328E">
      <w:pPr>
        <w:pStyle w:val="Nadpis2"/>
        <w:jc w:val="both"/>
      </w:pPr>
      <w:r>
        <w:t>Advokát je povinen:</w:t>
      </w:r>
    </w:p>
    <w:p w14:paraId="77DBC8F5" w14:textId="799CEE10" w:rsidR="000E2F7B" w:rsidRDefault="000E2F7B" w:rsidP="0080328E">
      <w:pPr>
        <w:pStyle w:val="Nadpis3"/>
        <w:jc w:val="both"/>
      </w:pPr>
      <w:r>
        <w:t>poskytovat Právní služby s odbornou péčí a chránit a prosazovat práva a oprávněné zájmy Klienta;</w:t>
      </w:r>
    </w:p>
    <w:p w14:paraId="45B95577" w14:textId="1465DF77" w:rsidR="000E2F7B" w:rsidRDefault="000E2F7B" w:rsidP="0080328E">
      <w:pPr>
        <w:pStyle w:val="Nadpis3"/>
        <w:jc w:val="both"/>
      </w:pPr>
      <w:r>
        <w:t>jednat čestně a svědomitě, využívat důsledně všechny zákonné prostředky a v jejich rámci uplatnit v zájmu Klienta vše, co podle svého přesvědčení pokládá za prospěšné;</w:t>
      </w:r>
    </w:p>
    <w:p w14:paraId="721096CF" w14:textId="233A9141" w:rsidR="000E2F7B" w:rsidRDefault="000E2F7B" w:rsidP="0080328E">
      <w:pPr>
        <w:pStyle w:val="Nadpis3"/>
        <w:jc w:val="both"/>
      </w:pPr>
      <w:r>
        <w:t>poskytovat Právní služby v souladu s písemnými či ústními pokyny Klienta udělenými v souladu s právními předpisy; a</w:t>
      </w:r>
    </w:p>
    <w:p w14:paraId="01768893" w14:textId="00B9F6CC" w:rsidR="000E2F7B" w:rsidRDefault="000E2F7B" w:rsidP="0080328E">
      <w:pPr>
        <w:pStyle w:val="Nadpis3"/>
        <w:jc w:val="both"/>
      </w:pPr>
      <w:r>
        <w:t xml:space="preserve">oznámit Klientovi všechny okolnosti, které zjistil při poskytování Právních služeb a o kterých </w:t>
      </w:r>
      <w:r w:rsidR="003C43E6">
        <w:t xml:space="preserve">    </w:t>
      </w:r>
      <w:r>
        <w:t>mu je známo, že by měly mít vliv na změnu pokynů Klienta.</w:t>
      </w:r>
    </w:p>
    <w:p w14:paraId="74BD792C" w14:textId="792BEAC2" w:rsidR="00392A4D" w:rsidRDefault="000E2F7B" w:rsidP="0080328E">
      <w:pPr>
        <w:pStyle w:val="Nadpis2"/>
        <w:jc w:val="both"/>
      </w:pPr>
      <w:r>
        <w:t xml:space="preserve">Advokát je povinen zachovávat mlčenlivost o všech skutečnostech, o nichž se dozvěděl v souvislosti </w:t>
      </w:r>
      <w:r w:rsidR="005F6A91">
        <w:t xml:space="preserve">   </w:t>
      </w:r>
      <w:r>
        <w:t xml:space="preserve">s poskytováním Právních služeb, a to podle pravidel stanovených zákonem o advokacii. Klient </w:t>
      </w:r>
      <w:r w:rsidR="003C43E6">
        <w:t xml:space="preserve">            </w:t>
      </w:r>
      <w:r>
        <w:t xml:space="preserve">však podpisem této Smlouvy dává souhlas k tomu, aby Advokát v případě potřeby užil informace </w:t>
      </w:r>
      <w:r w:rsidR="005F6A91">
        <w:t xml:space="preserve">                     </w:t>
      </w:r>
      <w:r>
        <w:t>o poskytnutí Právních služeb na základě této Smlouvy jakožto referenci pro účely zpracování a podání nabídek, jakož i pro další účely související s vlastní prezentací Advokáta např. na internetových stránkách, v marketingových materiálech, v rámci výroční zprávy apod., a to maximálně v rozsahu název Klienta, kontaktní osoba Klienta, obecný popis realizovaných Právních služeb, v případě nezbytnosti také jejich finanční objem, a doba, po kterou byly Právní služby poskytovány.</w:t>
      </w:r>
    </w:p>
    <w:p w14:paraId="6557307D" w14:textId="0400D294" w:rsidR="000E2F7B" w:rsidRDefault="000E2F7B" w:rsidP="0080328E">
      <w:pPr>
        <w:pStyle w:val="Nadpis2"/>
        <w:jc w:val="both"/>
      </w:pPr>
      <w:r>
        <w:t xml:space="preserve">Advokát je oprávněn a povinen poskytovat Právní služby prostřednictvím svých společníků, partnerů, advokátních koncipientů a dalších osob zaměstnaných Advokátem či s ním trvale spolupracujících. Tyto osoby jednají při poskytování Právních služeb dle této Smlouvy jménem a na účet Advokáta, případně tam, kde poskytování Právních služeb jménem Advokáta právní předpisy v jednotlivých případech nepřipouštějí, vlastním jménem a na účet Advokáta. </w:t>
      </w:r>
    </w:p>
    <w:p w14:paraId="5CEC1C7A" w14:textId="5889F668" w:rsidR="000E2F7B" w:rsidRDefault="000E2F7B" w:rsidP="0080328E">
      <w:pPr>
        <w:pStyle w:val="Nadpis2"/>
        <w:jc w:val="both"/>
      </w:pPr>
      <w:r>
        <w:t>Advokát neodpovídá za škodu v případě, prokáže-li, že vzniku škody nemohl zabránit ani při vynaložení veškerého úsilí, které na něm lze spravedlivě požadovat, nebo v případě, že ke škodě došlo v důsledku nesprávných, neúplných nebo nepravdivých informací, které Advokát obdržel od Klienta.</w:t>
      </w:r>
    </w:p>
    <w:p w14:paraId="690D51D4" w14:textId="4E55A721" w:rsidR="000E2F7B" w:rsidRDefault="000E2F7B" w:rsidP="0080328E">
      <w:pPr>
        <w:pStyle w:val="Nadpis2"/>
        <w:jc w:val="both"/>
      </w:pPr>
      <w:r>
        <w:t xml:space="preserve">Advokát prohlašuje, že je pojištěn pro případ profesní odpovědnosti za škodu vzniklou v souvislosti </w:t>
      </w:r>
      <w:r w:rsidR="005F6A91">
        <w:t xml:space="preserve">      </w:t>
      </w:r>
      <w:r>
        <w:t xml:space="preserve">s výkonem advokacie, a to až do výše </w:t>
      </w:r>
      <w:r w:rsidR="00521072">
        <w:t>1</w:t>
      </w:r>
      <w:r>
        <w:t>00 000 000 Kč. Advokát je povinen udržovat pojištění profesní odpovědnosti v přiměřené výši po celou dobu trvání Smlouvy.</w:t>
      </w:r>
    </w:p>
    <w:p w14:paraId="3F09263B" w14:textId="67DAEAAE" w:rsidR="000E2F7B" w:rsidRDefault="000E2F7B" w:rsidP="0080328E">
      <w:pPr>
        <w:pStyle w:val="Nadpis2"/>
        <w:jc w:val="both"/>
      </w:pPr>
      <w:r>
        <w:t>Bude-li Advokát v rámci poskytování Právních služeb využívat s předchozím souhlasem Klienta externí dodavatele služeb, zavazuje se je vybrat s náležitou péčí a zavázat je ve vztahu k předaným informacím týkajícím se Klienta povinností mlčenlivosti ve stejném rozsahu jako má Advokát. Klient tímto vyslovuje s poskytováním informací souhlas a výslovně zprošťuje Advokáta v nezbytném rozsahu mlčenlivosti vůči externím dodavatelům, kteří budou s jeho předchozím souhlasem využiti při poskytování Právních služeb dle této Smlouvy.</w:t>
      </w:r>
    </w:p>
    <w:p w14:paraId="5D0C74B5" w14:textId="35DBC7DC" w:rsidR="000E2F7B" w:rsidRDefault="000E2F7B" w:rsidP="0080328E">
      <w:pPr>
        <w:pStyle w:val="Nadpis2"/>
        <w:jc w:val="both"/>
      </w:pPr>
      <w:r>
        <w:t xml:space="preserve">Zjistí-li Advokát, že pokyny Klienta jsou nevhodné či neúčelné pro poskytování Právních služeb, </w:t>
      </w:r>
      <w:r w:rsidR="005F6A91">
        <w:t xml:space="preserve">             </w:t>
      </w:r>
      <w:r>
        <w:t xml:space="preserve">je povinen na toto Klienta upozornit. Bude-li v tomto případě Klient na poskytování Právních služeb </w:t>
      </w:r>
      <w:r w:rsidR="005F6A91">
        <w:t xml:space="preserve"> </w:t>
      </w:r>
      <w:r>
        <w:t>dle svých pokynů trvat, má Advokát právo pokračovat v poskytování Právních služeb dle původních pokynů a požadovat na Klientovi, aby své setrvání na původních pokynech potvrdil Advokátovi písemně.</w:t>
      </w:r>
    </w:p>
    <w:p w14:paraId="66D3D99D" w14:textId="1EAFB453" w:rsidR="00FD01F9" w:rsidRPr="00B00CA5" w:rsidRDefault="000E2F7B" w:rsidP="003C43E6">
      <w:pPr>
        <w:pStyle w:val="Nadpis2"/>
        <w:jc w:val="both"/>
      </w:pPr>
      <w:r>
        <w:t>Advokát prohlašuje, že při poskytování Právních služeb dle této Smlouvy není ve střetu zájmů ve vztahu ke svému jinému Klientovi ve smyslu § 19 odst. 1 zákona o advokacii a není ani z jiného důvodu povinen poskytnutí Právních služeb odmítnout.</w:t>
      </w:r>
    </w:p>
    <w:p w14:paraId="12BCB0DA" w14:textId="2E5DFD86" w:rsidR="000E2F7B" w:rsidRDefault="000E2F7B" w:rsidP="008B1581">
      <w:pPr>
        <w:pStyle w:val="Nadpis1"/>
      </w:pPr>
      <w:r w:rsidRPr="000E2F7B">
        <w:t>Povinnosti Klienta</w:t>
      </w:r>
    </w:p>
    <w:p w14:paraId="38E059BF" w14:textId="77777777" w:rsidR="00B00CA5" w:rsidRDefault="000E2F7B" w:rsidP="0080328E">
      <w:pPr>
        <w:pStyle w:val="Nadpis2"/>
        <w:jc w:val="both"/>
      </w:pPr>
      <w:r w:rsidRPr="000E2F7B">
        <w:t xml:space="preserve">Klient se zavazuje poskytnout Advokátovi, případně Advokátem zmocněné osobě, včasné, pravdivé, úplné a jasné informace, označit potřebné skutečnosti, předložit mu veškeré listinné materiály potřebné k řádnému poskytování Právních služeb podle této Smlouvy a poskytovat mu veškerou potřebnou součinnost. Klient odpovídá za pravdivost údajů, které Advokátovi v souvislosti s Právními službami </w:t>
      </w:r>
    </w:p>
    <w:p w14:paraId="24A5E5CD" w14:textId="724AC123" w:rsidR="000E2F7B" w:rsidRPr="000E2F7B" w:rsidRDefault="000E2F7B" w:rsidP="00B00CA5">
      <w:pPr>
        <w:pStyle w:val="Nadpis2"/>
        <w:numPr>
          <w:ilvl w:val="0"/>
          <w:numId w:val="0"/>
        </w:numPr>
        <w:ind w:left="567"/>
        <w:jc w:val="both"/>
      </w:pPr>
      <w:r w:rsidRPr="000E2F7B">
        <w:lastRenderedPageBreak/>
        <w:t>poskytl, a je si vědom nebezpečí škody a jiných následků, které by nepravdivé informace mohly způsobit, pokud jde o výsledek poskytování Právních služeb. Advokát Klientem poskytnuté informace a podklady po skutkové stránce nepřezkoumává s výjimkou případů, kdy Klient o přezkoumání Advokáta požádá. Poskytnutí nepravdivých nebo neúplných informací může být Advokátem považováno za narušení nezbytné důvěry mezi Advokátem a Klientem.</w:t>
      </w:r>
    </w:p>
    <w:p w14:paraId="0B6DBA19" w14:textId="643AE925" w:rsidR="000E2F7B" w:rsidRPr="000E2F7B" w:rsidRDefault="000E2F7B" w:rsidP="0080328E">
      <w:pPr>
        <w:pStyle w:val="Nadpis2"/>
        <w:jc w:val="both"/>
      </w:pPr>
      <w:r w:rsidRPr="000E2F7B">
        <w:t xml:space="preserve">Klient je povinen vystavit Advokátovi procesní plnou moc či jinou plnou moc, které jsou nezbytné </w:t>
      </w:r>
      <w:r w:rsidR="005F6A91">
        <w:t xml:space="preserve">       </w:t>
      </w:r>
      <w:r w:rsidRPr="000E2F7B">
        <w:t>pro řádné poskytování Právních služeb dle této Smlouvy. Klient výslovně souhlasí s tím, aby za sebe Advokát dále ve výše uvedených věcech zmocnil jiné osoby, zejména spolupracující advokáty.</w:t>
      </w:r>
    </w:p>
    <w:p w14:paraId="561B1CB0" w14:textId="1C344895" w:rsidR="00665ACC" w:rsidRPr="008B1581" w:rsidRDefault="000E2F7B" w:rsidP="0080328E">
      <w:pPr>
        <w:pStyle w:val="Nadpis2"/>
        <w:jc w:val="both"/>
      </w:pPr>
      <w:r w:rsidRPr="000E2F7B">
        <w:t xml:space="preserve">V souladu s příslušnou právní úpravou proti legalizaci výnosů z trestné činnosti může mít Advokát povinnost provést identifikaci zástupce a statutárního orgánu Klienta. Pro tento případ se Klient zavazuje poskytnout nutnou </w:t>
      </w:r>
      <w:r w:rsidR="005974B1" w:rsidRPr="000E2F7B">
        <w:t>součinnost</w:t>
      </w:r>
      <w:r w:rsidRPr="000E2F7B">
        <w:t xml:space="preserve"> včetně potvrzení správnosti údajů předložených Advokátem.</w:t>
      </w:r>
    </w:p>
    <w:p w14:paraId="7A4025D3" w14:textId="34E97DEB" w:rsidR="007332CF" w:rsidRDefault="007332CF" w:rsidP="008B1581">
      <w:pPr>
        <w:pStyle w:val="Nadpis1"/>
      </w:pPr>
      <w:r>
        <w:t>Odměna, náklady a platební podmínky</w:t>
      </w:r>
    </w:p>
    <w:p w14:paraId="0FD3E7FC" w14:textId="3ECED45E" w:rsidR="00F62060" w:rsidRDefault="00665ACC" w:rsidP="0080328E">
      <w:pPr>
        <w:pStyle w:val="Nadpis2"/>
        <w:jc w:val="both"/>
      </w:pPr>
      <w:bookmarkStart w:id="2" w:name="_Ref143702417"/>
      <w:r>
        <w:t xml:space="preserve">Klient je povinen zaplatit Advokátovi za poskytování Právních služeb smluvní odměnu </w:t>
      </w:r>
      <w:r w:rsidR="0073756C">
        <w:t xml:space="preserve">v celkové </w:t>
      </w:r>
      <w:r w:rsidR="005F6A91">
        <w:t xml:space="preserve">        </w:t>
      </w:r>
      <w:r w:rsidR="0073756C">
        <w:t xml:space="preserve">výši </w:t>
      </w:r>
      <w:r w:rsidR="005F6A91">
        <w:t xml:space="preserve">  </w:t>
      </w:r>
      <w:r w:rsidR="00AF28B0">
        <w:t>1</w:t>
      </w:r>
      <w:r w:rsidR="005F6A91">
        <w:t xml:space="preserve"> </w:t>
      </w:r>
      <w:r w:rsidR="00AF28B0">
        <w:t>450</w:t>
      </w:r>
      <w:r w:rsidR="005F6A91">
        <w:t xml:space="preserve"> </w:t>
      </w:r>
      <w:r w:rsidR="00AF28B0">
        <w:t>000</w:t>
      </w:r>
      <w:r w:rsidR="005F6A91">
        <w:t xml:space="preserve">,- </w:t>
      </w:r>
      <w:r w:rsidR="00F62060">
        <w:t>Kč bez DPH (slovy</w:t>
      </w:r>
      <w:r w:rsidR="005F6A91">
        <w:t>:</w:t>
      </w:r>
      <w:r w:rsidR="00F62060">
        <w:t xml:space="preserve"> „</w:t>
      </w:r>
      <w:r w:rsidR="00AF28B0">
        <w:t>jeden mili</w:t>
      </w:r>
      <w:r w:rsidR="005F6A91">
        <w:t>o</w:t>
      </w:r>
      <w:r w:rsidR="00AF28B0">
        <w:t>n čtyři sta padesát tisíc korun českých</w:t>
      </w:r>
      <w:r w:rsidR="00F62060">
        <w:t>“),</w:t>
      </w:r>
      <w:r w:rsidR="005F6A91">
        <w:t xml:space="preserve"> </w:t>
      </w:r>
      <w:r w:rsidR="003C43E6">
        <w:t xml:space="preserve">                        </w:t>
      </w:r>
      <w:r w:rsidR="00F62060">
        <w:t>a to v následujícím členění:</w:t>
      </w:r>
    </w:p>
    <w:p w14:paraId="779F139B" w14:textId="076630E4" w:rsidR="00665ACC" w:rsidRDefault="002716B0" w:rsidP="00B00CA5">
      <w:pPr>
        <w:pStyle w:val="Nadpis3"/>
        <w:jc w:val="both"/>
      </w:pPr>
      <w:r w:rsidRPr="002716B0">
        <w:t>Revize Zprávy o udržitelnosti za rok 2022-2023 s ověřením platnosti oblastí dvojité materiality a dostupnosti datových bodů k přípravě Zprávy o udržitelnosti za rok 2024</w:t>
      </w:r>
      <w:bookmarkEnd w:id="2"/>
      <w:r>
        <w:t xml:space="preserve"> ve výši </w:t>
      </w:r>
      <w:r w:rsidR="00AF28B0">
        <w:t>200</w:t>
      </w:r>
      <w:r w:rsidR="005F6A91">
        <w:t xml:space="preserve"> </w:t>
      </w:r>
      <w:r w:rsidR="00AF28B0">
        <w:t>000</w:t>
      </w:r>
      <w:r w:rsidR="005F6A91">
        <w:t>,-</w:t>
      </w:r>
      <w:r>
        <w:t xml:space="preserve"> Kč bez DPH (slovy</w:t>
      </w:r>
      <w:r w:rsidR="005F6A91">
        <w:t>:</w:t>
      </w:r>
      <w:r>
        <w:t xml:space="preserve"> „</w:t>
      </w:r>
      <w:r w:rsidR="00AF28B0">
        <w:t>dvě stě tisíc korun českých</w:t>
      </w:r>
      <w:r>
        <w:t>“),</w:t>
      </w:r>
    </w:p>
    <w:p w14:paraId="70DB072D" w14:textId="766E3ECA" w:rsidR="002716B0" w:rsidRDefault="00C116BC" w:rsidP="00B00CA5">
      <w:pPr>
        <w:pStyle w:val="Nadpis3"/>
        <w:jc w:val="both"/>
      </w:pPr>
      <w:r w:rsidRPr="00C116BC">
        <w:t>Aktualizac</w:t>
      </w:r>
      <w:r>
        <w:t>e</w:t>
      </w:r>
      <w:r w:rsidRPr="00C116BC">
        <w:t xml:space="preserve"> materiálních témat a cílené dialogy</w:t>
      </w:r>
      <w:r>
        <w:t xml:space="preserve"> </w:t>
      </w:r>
      <w:r w:rsidR="002716B0">
        <w:t xml:space="preserve">ve výši </w:t>
      </w:r>
      <w:r w:rsidR="00AF28B0">
        <w:t>180</w:t>
      </w:r>
      <w:r w:rsidR="005F6A91">
        <w:t xml:space="preserve"> </w:t>
      </w:r>
      <w:r w:rsidR="00AF28B0">
        <w:t>000</w:t>
      </w:r>
      <w:r w:rsidR="005F6A91">
        <w:t>,-</w:t>
      </w:r>
      <w:r w:rsidR="002716B0">
        <w:t xml:space="preserve"> Kč bez DPH (slovy</w:t>
      </w:r>
      <w:r w:rsidR="005F6A91">
        <w:t>:</w:t>
      </w:r>
      <w:r w:rsidR="002716B0">
        <w:t xml:space="preserve"> „</w:t>
      </w:r>
      <w:r w:rsidR="00AF28B0">
        <w:t>sto osmdesát tisíc korun českých</w:t>
      </w:r>
      <w:r w:rsidR="002716B0">
        <w:t>“),</w:t>
      </w:r>
    </w:p>
    <w:p w14:paraId="68E79511" w14:textId="7CDDC563" w:rsidR="002716B0" w:rsidRDefault="00C116BC" w:rsidP="00B00CA5">
      <w:pPr>
        <w:pStyle w:val="Nadpis3"/>
        <w:jc w:val="both"/>
      </w:pPr>
      <w:r w:rsidRPr="00C116BC">
        <w:t>Sběr a analýza informaci a datových bodů a doporučení možností automatizace sběru dat</w:t>
      </w:r>
      <w:r>
        <w:t xml:space="preserve"> </w:t>
      </w:r>
      <w:r w:rsidR="005F6A91">
        <w:t xml:space="preserve">     </w:t>
      </w:r>
      <w:r w:rsidR="003C43E6">
        <w:t xml:space="preserve">     </w:t>
      </w:r>
      <w:r w:rsidR="002716B0">
        <w:t xml:space="preserve">ve výši </w:t>
      </w:r>
      <w:r w:rsidR="00AF28B0">
        <w:t>400</w:t>
      </w:r>
      <w:r w:rsidR="005F6A91">
        <w:t xml:space="preserve"> </w:t>
      </w:r>
      <w:r w:rsidR="00AF28B0">
        <w:t>000</w:t>
      </w:r>
      <w:r w:rsidR="005F6A91">
        <w:t>,-</w:t>
      </w:r>
      <w:r w:rsidR="00AF28B0">
        <w:t xml:space="preserve"> </w:t>
      </w:r>
      <w:r w:rsidR="002716B0">
        <w:t>Kč bez DPH (slovy</w:t>
      </w:r>
      <w:r w:rsidR="005F6A91">
        <w:t>:</w:t>
      </w:r>
      <w:r w:rsidR="002716B0">
        <w:t xml:space="preserve"> „</w:t>
      </w:r>
      <w:r w:rsidR="00AF28B0">
        <w:t>čtyři sta tisíc korun českých</w:t>
      </w:r>
      <w:r w:rsidR="002716B0">
        <w:t>“),</w:t>
      </w:r>
    </w:p>
    <w:p w14:paraId="3FAEDBCD" w14:textId="0B600FB7" w:rsidR="002716B0" w:rsidRDefault="00805CB9" w:rsidP="00B00CA5">
      <w:pPr>
        <w:pStyle w:val="Nadpis3"/>
        <w:jc w:val="both"/>
      </w:pPr>
      <w:r w:rsidRPr="00805CB9">
        <w:t xml:space="preserve">Výpočet uhlíkové stopy PVS a konsolidace s PVK a zpracování metodiky EU Taxonomy PVS </w:t>
      </w:r>
      <w:r w:rsidR="005F6A91">
        <w:t xml:space="preserve">    </w:t>
      </w:r>
      <w:r w:rsidR="003C43E6">
        <w:t xml:space="preserve">      </w:t>
      </w:r>
      <w:r w:rsidRPr="00805CB9">
        <w:t>a PVK</w:t>
      </w:r>
      <w:r>
        <w:t xml:space="preserve"> </w:t>
      </w:r>
      <w:r w:rsidR="002716B0">
        <w:t xml:space="preserve">ve výši </w:t>
      </w:r>
      <w:r w:rsidR="00AF28B0">
        <w:t>340</w:t>
      </w:r>
      <w:r w:rsidR="005F6A91">
        <w:t xml:space="preserve"> </w:t>
      </w:r>
      <w:r w:rsidR="00AF28B0">
        <w:t>000</w:t>
      </w:r>
      <w:r w:rsidR="005F6A91">
        <w:t>,-</w:t>
      </w:r>
      <w:r w:rsidR="002716B0">
        <w:t xml:space="preserve"> Kč bez DPH (slovy</w:t>
      </w:r>
      <w:r w:rsidR="005F6A91">
        <w:t>:</w:t>
      </w:r>
      <w:r w:rsidR="002716B0">
        <w:t xml:space="preserve"> „</w:t>
      </w:r>
      <w:r w:rsidR="00AF28B0">
        <w:t>tři sta čtyřicet tisíc korun českých</w:t>
      </w:r>
      <w:r w:rsidR="002716B0">
        <w:t>“),</w:t>
      </w:r>
    </w:p>
    <w:p w14:paraId="6BEE4A20" w14:textId="5B19B918" w:rsidR="002716B0" w:rsidRDefault="00805CB9" w:rsidP="00B00CA5">
      <w:pPr>
        <w:pStyle w:val="Nadpis3"/>
        <w:jc w:val="both"/>
      </w:pPr>
      <w:r>
        <w:t>Vyhotovení</w:t>
      </w:r>
      <w:r w:rsidRPr="00805CB9">
        <w:t xml:space="preserve"> Zprávy o udržitelnosti za rok 2024</w:t>
      </w:r>
      <w:r>
        <w:t xml:space="preserve"> </w:t>
      </w:r>
      <w:r w:rsidR="002716B0">
        <w:t xml:space="preserve">ve výši </w:t>
      </w:r>
      <w:r w:rsidR="00AF28B0">
        <w:t>330</w:t>
      </w:r>
      <w:r w:rsidR="005F6A91">
        <w:t xml:space="preserve"> </w:t>
      </w:r>
      <w:r w:rsidR="00AF28B0">
        <w:t>000</w:t>
      </w:r>
      <w:r w:rsidR="005F6A91">
        <w:t>,-</w:t>
      </w:r>
      <w:r w:rsidR="002716B0">
        <w:t xml:space="preserve"> Kč bez DPH (slovy</w:t>
      </w:r>
      <w:r w:rsidR="005F6A91">
        <w:t>:</w:t>
      </w:r>
      <w:r w:rsidR="002716B0">
        <w:t xml:space="preserve"> „</w:t>
      </w:r>
      <w:r w:rsidR="00AF28B0">
        <w:t>tři sta třicet tisíc korun českých</w:t>
      </w:r>
      <w:r w:rsidR="002716B0">
        <w:t>“)</w:t>
      </w:r>
      <w:r>
        <w:t>.</w:t>
      </w:r>
    </w:p>
    <w:p w14:paraId="77159456" w14:textId="04DEC2C3" w:rsidR="00D032DF" w:rsidRPr="00D032DF" w:rsidRDefault="00D032DF" w:rsidP="009D3884">
      <w:pPr>
        <w:pStyle w:val="Nadpis2"/>
        <w:jc w:val="both"/>
      </w:pPr>
      <w:r>
        <w:t xml:space="preserve">Celková smluvní odměna za poskytnutí služeb dle bodu </w:t>
      </w:r>
      <w:r>
        <w:fldChar w:fldCharType="begin"/>
      </w:r>
      <w:r>
        <w:instrText xml:space="preserve"> REF _Ref143700979 \r \h </w:instrText>
      </w:r>
      <w:r>
        <w:fldChar w:fldCharType="separate"/>
      </w:r>
      <w:r w:rsidR="00CF31C8">
        <w:t>01.1</w:t>
      </w:r>
      <w:r>
        <w:fldChar w:fldCharType="end"/>
      </w:r>
      <w:r>
        <w:t xml:space="preserve"> (dle ustanovení </w:t>
      </w:r>
      <w:r w:rsidR="009D3884">
        <w:t xml:space="preserve">písm. </w:t>
      </w:r>
      <w:r>
        <w:t>a)</w:t>
      </w:r>
      <w:r w:rsidR="009D3884">
        <w:t xml:space="preserve"> až e</w:t>
      </w:r>
      <w:r>
        <w:t xml:space="preserve">)) v návaznosti na ustanovení </w:t>
      </w:r>
      <w:r>
        <w:fldChar w:fldCharType="begin"/>
      </w:r>
      <w:r>
        <w:instrText xml:space="preserve"> REF _Ref143702417 \r \h </w:instrText>
      </w:r>
      <w:r>
        <w:fldChar w:fldCharType="separate"/>
      </w:r>
      <w:r w:rsidR="00CF31C8">
        <w:t>04.1</w:t>
      </w:r>
      <w:r>
        <w:fldChar w:fldCharType="end"/>
      </w:r>
      <w:r>
        <w:t xml:space="preserve"> nepřekročí </w:t>
      </w:r>
      <w:r w:rsidRPr="009D3884">
        <w:rPr>
          <w:b/>
          <w:bCs/>
        </w:rPr>
        <w:t>2 000</w:t>
      </w:r>
      <w:r w:rsidR="005F6A91">
        <w:rPr>
          <w:b/>
          <w:bCs/>
        </w:rPr>
        <w:t> </w:t>
      </w:r>
      <w:r w:rsidRPr="009D3884">
        <w:rPr>
          <w:b/>
          <w:bCs/>
        </w:rPr>
        <w:t>000</w:t>
      </w:r>
      <w:r w:rsidR="005F6A91">
        <w:rPr>
          <w:b/>
          <w:bCs/>
        </w:rPr>
        <w:t>,-</w:t>
      </w:r>
      <w:r>
        <w:t xml:space="preserve"> Kč bez DPH</w:t>
      </w:r>
      <w:r w:rsidR="005F6A91">
        <w:t xml:space="preserve"> (slovy: dva miliony korun českých)</w:t>
      </w:r>
      <w:r>
        <w:t xml:space="preserve">, přičemž odměna bude Klientovi fakturována </w:t>
      </w:r>
      <w:r w:rsidR="00140DB7">
        <w:t xml:space="preserve">po </w:t>
      </w:r>
      <w:r>
        <w:t>posky</w:t>
      </w:r>
      <w:r w:rsidR="00C766F5">
        <w:t>t</w:t>
      </w:r>
      <w:r>
        <w:t>n</w:t>
      </w:r>
      <w:r w:rsidR="00140DB7">
        <w:t xml:space="preserve">utí jednotlivých shora specifikovaných </w:t>
      </w:r>
      <w:r>
        <w:t>Právních služeb Klientovi.</w:t>
      </w:r>
      <w:r w:rsidR="00C766F5">
        <w:t xml:space="preserve"> </w:t>
      </w:r>
    </w:p>
    <w:p w14:paraId="24C17857" w14:textId="46D03E6C" w:rsidR="00665ACC" w:rsidRPr="00A9751E" w:rsidRDefault="00665ACC" w:rsidP="0080328E">
      <w:pPr>
        <w:pStyle w:val="Nadpis2"/>
        <w:jc w:val="both"/>
      </w:pPr>
      <w:r w:rsidRPr="00A9751E">
        <w:t xml:space="preserve">Běžné hotové náklady, které vzniknou při poskytování Právních služeb (např. hovorné, poštovné </w:t>
      </w:r>
      <w:r w:rsidR="005F6A91">
        <w:t xml:space="preserve">            </w:t>
      </w:r>
      <w:r w:rsidRPr="00A9751E">
        <w:t>či přepravné atd.), jsou již zahrnuty v odměně dle odstavce 1 tohoto článku.</w:t>
      </w:r>
    </w:p>
    <w:p w14:paraId="2D3260EC" w14:textId="7F5B34CD" w:rsidR="00665ACC" w:rsidRDefault="00665ACC" w:rsidP="0080328E">
      <w:pPr>
        <w:pStyle w:val="Nadpis2"/>
        <w:jc w:val="both"/>
      </w:pPr>
      <w:r>
        <w:t>Mimořádné hotové náklady účelně vynaložené při poskytování Právních služeb Advokátem v dohodnuté odměně zahrnuty nejsou (soudní, správní, rozhodčí a jiné poplatky, kolky, náklady notářských zápisů, ověření pravosti listin, apostilace, ověření podpisů, překladů z/do cizího jazyka, náklady znaleckých posudků atp.) a zavazuje se je uhradit Klient. Advokát je povinen Klienta předem informovat o potřebě vynaložení mimořádných hotových nákladů, projednat s ním jejich rozsah a vyžádat si předem jeho souhlas s jejich vynaložením. Tyto náklady pak bude hradit buď přímo Klient, nebo je zaplatí Advokát a následně je přeúčtuje Klientovi.</w:t>
      </w:r>
    </w:p>
    <w:p w14:paraId="00BD03DF" w14:textId="00A9AB8B" w:rsidR="00665ACC" w:rsidRPr="00A9751E" w:rsidRDefault="00665ACC" w:rsidP="0080328E">
      <w:pPr>
        <w:pStyle w:val="Nadpis2"/>
        <w:jc w:val="both"/>
      </w:pPr>
      <w:r>
        <w:t xml:space="preserve">Ke smluvní odměně za Právní služby bude připočtena DPH v zákonné výši ke dni vzniku zdanitelného plnění a celá částka bude uhrazena Klientem na základě daňového dokladu (faktury) vystaveného Advokátem. Daňový doklad bude mít náležitosti stanovené příslušným </w:t>
      </w:r>
      <w:r w:rsidRPr="00A9751E">
        <w:t>právním předpisem</w:t>
      </w:r>
      <w:r w:rsidR="003B4649">
        <w:t xml:space="preserve"> a jeho součástí bude číslo smlouvy Klienta uvedené v záhlaví této smlouvy</w:t>
      </w:r>
      <w:r w:rsidRPr="00A9751E">
        <w:t>. Přílohou každého daňového dokladu bude</w:t>
      </w:r>
      <w:r w:rsidR="00140DB7">
        <w:t xml:space="preserve"> Klientem odsouhlasený </w:t>
      </w:r>
      <w:r w:rsidRPr="00A9751E">
        <w:t>výkaz poskytnutých Právních služeb. Dnem zdanitelného plnění je vždy poslední den kalendářního měsíce</w:t>
      </w:r>
      <w:r w:rsidR="00C766F5">
        <w:t>, v němž byla konkrétní Právní služba poskytnuta</w:t>
      </w:r>
      <w:r w:rsidRPr="00A9751E">
        <w:t>.</w:t>
      </w:r>
    </w:p>
    <w:p w14:paraId="6E4A3616" w14:textId="4B111345" w:rsidR="00665ACC" w:rsidRDefault="00665ACC" w:rsidP="0080328E">
      <w:pPr>
        <w:pStyle w:val="Nadpis2"/>
        <w:jc w:val="both"/>
      </w:pPr>
      <w:r>
        <w:t>Smluvní strany se vzájemně zavazují, že:</w:t>
      </w:r>
    </w:p>
    <w:p w14:paraId="3009CD0D" w14:textId="0F9CF0B8" w:rsidR="00665ACC" w:rsidRDefault="00665ACC" w:rsidP="0080328E">
      <w:pPr>
        <w:pStyle w:val="Nadpis3"/>
        <w:jc w:val="both"/>
      </w:pPr>
      <w:r>
        <w:t>bankovní účty jimi určené k úhradě plnění podle této Smlouvy jsou účty zveřejněnými ve smyslu ust. § 96 odst. 2 zákona č. 235/2004 Sb., o dani z přidané hodnoty, ve znění pozdějších předpisů (dále jen „</w:t>
      </w:r>
      <w:r w:rsidRPr="00F852DC">
        <w:rPr>
          <w:b/>
          <w:bCs/>
        </w:rPr>
        <w:t>zákon o DPH</w:t>
      </w:r>
      <w:r>
        <w:t>“);</w:t>
      </w:r>
    </w:p>
    <w:p w14:paraId="030C2FB0" w14:textId="34CDFD49" w:rsidR="00665ACC" w:rsidRDefault="00665ACC" w:rsidP="0080328E">
      <w:pPr>
        <w:pStyle w:val="Nadpis3"/>
        <w:jc w:val="both"/>
      </w:pPr>
      <w:r>
        <w:t>si neprodleně písemně oznámí své označení za nespolehlivého plátce ve smyslu ust. § 106a zákona o DPH;</w:t>
      </w:r>
    </w:p>
    <w:p w14:paraId="058E1CC0" w14:textId="65440823" w:rsidR="00665ACC" w:rsidRDefault="00665ACC" w:rsidP="0080328E">
      <w:pPr>
        <w:pStyle w:val="Nadpis3"/>
        <w:jc w:val="both"/>
      </w:pPr>
      <w:r>
        <w:lastRenderedPageBreak/>
        <w:t>si neprodleně písemně oznámí svou insolvenci nebo hrozbu jejího vzniku.</w:t>
      </w:r>
    </w:p>
    <w:p w14:paraId="37F1B2DE" w14:textId="75932F20" w:rsidR="00665ACC" w:rsidRDefault="00665ACC" w:rsidP="0080328E">
      <w:pPr>
        <w:pStyle w:val="Nadpis2"/>
        <w:jc w:val="both"/>
      </w:pPr>
      <w:r>
        <w:t xml:space="preserve">Daňové doklady jsou splatné ve lhůtě </w:t>
      </w:r>
      <w:r w:rsidRPr="00A9751E">
        <w:t xml:space="preserve">nejméně </w:t>
      </w:r>
      <w:r w:rsidR="006D6189">
        <w:t xml:space="preserve">třiceti </w:t>
      </w:r>
      <w:r w:rsidRPr="00A9751E">
        <w:t>(</w:t>
      </w:r>
      <w:r w:rsidR="006D6189">
        <w:t>30</w:t>
      </w:r>
      <w:r w:rsidRPr="00A9751E">
        <w:t xml:space="preserve">) dnů ode dne doručení Klientovi. </w:t>
      </w:r>
    </w:p>
    <w:p w14:paraId="201C9356" w14:textId="229E5675" w:rsidR="008B1581" w:rsidRDefault="00665ACC" w:rsidP="00521072">
      <w:pPr>
        <w:pStyle w:val="Nadpis2"/>
        <w:jc w:val="both"/>
      </w:pPr>
      <w:r>
        <w:t xml:space="preserve">Smluvní strany prohlašují, že pokud Advokát započal poskytovat Právní služby na pokyn Klienta </w:t>
      </w:r>
      <w:r w:rsidR="00B00CA5">
        <w:t xml:space="preserve">            </w:t>
      </w:r>
      <w:r>
        <w:t xml:space="preserve">již před účinností této Smlouvy, považují se tyto služby za poskytnuté podle této Smlouvy a budou </w:t>
      </w:r>
      <w:r w:rsidR="00B00CA5">
        <w:t xml:space="preserve">      </w:t>
      </w:r>
      <w:r>
        <w:t>v režimu této Smlouvy vyúčtovány.</w:t>
      </w:r>
    </w:p>
    <w:p w14:paraId="552C2B0F" w14:textId="151CF1F4" w:rsidR="006D6189" w:rsidRDefault="006D6189" w:rsidP="000E0DD3">
      <w:pPr>
        <w:pStyle w:val="Nadpis2"/>
        <w:jc w:val="both"/>
        <w:rPr>
          <w:rFonts w:cs="Tahoma"/>
          <w:szCs w:val="19"/>
        </w:rPr>
      </w:pPr>
      <w:r w:rsidRPr="0041281B">
        <w:rPr>
          <w:rFonts w:cs="Tahoma"/>
          <w:szCs w:val="19"/>
        </w:rPr>
        <w:t xml:space="preserve">Klient je oprávněn ve lhůtě splatnosti vrátit s písemným zdůvodněním bez zaplacení daňový doklad (fakturu), který nebude mít náležitosti daňového dokladu (faktury), bude předložen předčasně, </w:t>
      </w:r>
      <w:r w:rsidR="00B00CA5">
        <w:rPr>
          <w:rFonts w:cs="Tahoma"/>
          <w:szCs w:val="19"/>
        </w:rPr>
        <w:t xml:space="preserve">       </w:t>
      </w:r>
      <w:r w:rsidRPr="0041281B">
        <w:rPr>
          <w:rFonts w:cs="Tahoma"/>
          <w:szCs w:val="19"/>
        </w:rPr>
        <w:t>nebo nebude mít náležitosti sjednané v</w:t>
      </w:r>
      <w:r>
        <w:rPr>
          <w:rFonts w:cs="Tahoma"/>
          <w:szCs w:val="19"/>
        </w:rPr>
        <w:t>e</w:t>
      </w:r>
      <w:r w:rsidRPr="0041281B">
        <w:rPr>
          <w:rFonts w:cs="Tahoma"/>
          <w:szCs w:val="19"/>
        </w:rPr>
        <w:t xml:space="preserve"> Smlouvě. V</w:t>
      </w:r>
      <w:r>
        <w:rPr>
          <w:rFonts w:cs="Tahoma"/>
          <w:szCs w:val="19"/>
        </w:rPr>
        <w:t> </w:t>
      </w:r>
      <w:r w:rsidRPr="0041281B">
        <w:rPr>
          <w:rFonts w:cs="Tahoma"/>
          <w:szCs w:val="19"/>
        </w:rPr>
        <w:t xml:space="preserve">takovém případě běží nová lhůta splatnosti </w:t>
      </w:r>
      <w:r w:rsidR="00B00CA5">
        <w:rPr>
          <w:rFonts w:cs="Tahoma"/>
          <w:szCs w:val="19"/>
        </w:rPr>
        <w:t xml:space="preserve">             </w:t>
      </w:r>
      <w:r w:rsidRPr="0041281B">
        <w:rPr>
          <w:rFonts w:cs="Tahoma"/>
          <w:szCs w:val="19"/>
        </w:rPr>
        <w:t>v délce patnácti (15) kalendářních dnů ode dne doručení bezvadného daňového dokladu (faktury).</w:t>
      </w:r>
    </w:p>
    <w:p w14:paraId="569E0474" w14:textId="5E231C04" w:rsidR="006D6189" w:rsidRPr="006D6189" w:rsidRDefault="00B422B2" w:rsidP="001C6AA4">
      <w:pPr>
        <w:pStyle w:val="Nadpis2"/>
        <w:jc w:val="both"/>
        <w:rPr>
          <w:rFonts w:cs="Tahoma"/>
          <w:szCs w:val="19"/>
        </w:rPr>
      </w:pPr>
      <w:r w:rsidRPr="00B422B2">
        <w:rPr>
          <w:rFonts w:cs="Tahoma"/>
          <w:szCs w:val="19"/>
        </w:rPr>
        <w:t xml:space="preserve">Strany se v souladu se zákonem </w:t>
      </w:r>
      <w:r w:rsidRPr="00DD342D">
        <w:rPr>
          <w:rFonts w:cs="Tahoma"/>
          <w:szCs w:val="19"/>
        </w:rPr>
        <w:t>o DPH</w:t>
      </w:r>
      <w:r w:rsidRPr="00B422B2">
        <w:rPr>
          <w:rFonts w:cs="Tahoma"/>
          <w:szCs w:val="19"/>
        </w:rPr>
        <w:t xml:space="preserve"> dohodly, že faktura bude objednateli zaslána elektronicky („</w:t>
      </w:r>
      <w:r w:rsidRPr="00095B46">
        <w:rPr>
          <w:rFonts w:cs="Tahoma"/>
          <w:b/>
          <w:bCs/>
          <w:szCs w:val="19"/>
        </w:rPr>
        <w:t>elektronická faktura</w:t>
      </w:r>
      <w:r w:rsidRPr="00B422B2">
        <w:rPr>
          <w:rFonts w:cs="Tahoma"/>
          <w:szCs w:val="19"/>
        </w:rPr>
        <w:t xml:space="preserve">"), a to výlučně na e-mailovou adresu: </w:t>
      </w:r>
      <w:hyperlink r:id="rId11" w:history="1">
        <w:r w:rsidRPr="00D06620">
          <w:rPr>
            <w:rStyle w:val="Hypertextovodkaz"/>
            <w:rFonts w:cs="Tahoma"/>
            <w:szCs w:val="19"/>
          </w:rPr>
          <w:t>isdocx@pvs.cz</w:t>
        </w:r>
      </w:hyperlink>
      <w:r w:rsidRPr="00B422B2">
        <w:rPr>
          <w:rFonts w:cs="Tahoma"/>
          <w:szCs w:val="19"/>
        </w:rPr>
        <w:t xml:space="preserve">. Elektronická faktura bude v elektronické podobě a tato elektronická podoba bude představovat originální verzi evidovanou v účetnictví objednatele. Elektronická faktura bude vyhotovena ve formátu ISDOCX, v četnosti </w:t>
      </w:r>
      <w:r w:rsidR="00B00CA5">
        <w:rPr>
          <w:rFonts w:cs="Tahoma"/>
          <w:szCs w:val="19"/>
        </w:rPr>
        <w:t xml:space="preserve">               </w:t>
      </w:r>
      <w:r w:rsidRPr="00B422B2">
        <w:rPr>
          <w:rFonts w:cs="Tahoma"/>
          <w:szCs w:val="19"/>
        </w:rPr>
        <w:t xml:space="preserve">1 faktura = 1 soubor. Přílohy elektronické faktury, které nejsou součástí daňového dokladu, budou zasílány objednateli pouze ve formátech RTF, PDF, DOC, DOCx, XLS, XLSx. V případě, kdy bude zaslána objednateli elektronická faktura, zavazuje se poskytovatel nezasílat stejnou fakturu duplicitně v listinné podobě. V případě, že není možné generovat elektronickou fakturu přímo z účetního systému poskytovatele, bude opatřena zaručeným elektronickým podpisem založeným na kvalifikovaném certifikátu ve smyslu zákona č. 297/2016 Sb., o službách vytvářejících důvěru pro elektronické transakce podpisu, ve znění pozdějších předpisů, kvalifikovaný certifikát musí být vydán jedním </w:t>
      </w:r>
      <w:r w:rsidR="00B00CA5">
        <w:rPr>
          <w:rFonts w:cs="Tahoma"/>
          <w:szCs w:val="19"/>
        </w:rPr>
        <w:t xml:space="preserve">             </w:t>
      </w:r>
      <w:r w:rsidRPr="00B422B2">
        <w:rPr>
          <w:rFonts w:cs="Tahoma"/>
          <w:szCs w:val="19"/>
        </w:rPr>
        <w:t xml:space="preserve">z Ministerstvem vnitra ČR akreditovaných poskytovatelů certifikačních služeb. V tomto případě bude faktura zaslána na e-mailovou adresu: </w:t>
      </w:r>
      <w:hyperlink r:id="rId12" w:history="1">
        <w:r w:rsidRPr="00D06620">
          <w:rPr>
            <w:rStyle w:val="Hypertextovodkaz"/>
            <w:rFonts w:cs="Tahoma"/>
            <w:szCs w:val="19"/>
          </w:rPr>
          <w:t>fakturace@pvs.cz</w:t>
        </w:r>
      </w:hyperlink>
      <w:r w:rsidR="006D6189" w:rsidRPr="001D14B7">
        <w:rPr>
          <w:rFonts w:cs="Tahoma"/>
          <w:szCs w:val="19"/>
        </w:rPr>
        <w:t>.</w:t>
      </w:r>
    </w:p>
    <w:p w14:paraId="6638792C" w14:textId="46ECC8AD" w:rsidR="00665ACC" w:rsidRPr="008B1581" w:rsidRDefault="00665ACC" w:rsidP="008B1581">
      <w:pPr>
        <w:pStyle w:val="Nadpis1"/>
      </w:pPr>
      <w:r w:rsidRPr="008B1581">
        <w:t>Doba trvání Smlouvy</w:t>
      </w:r>
    </w:p>
    <w:p w14:paraId="476311BE" w14:textId="65C02847" w:rsidR="00665ACC" w:rsidRPr="00A9751E" w:rsidRDefault="00665ACC" w:rsidP="007B5FD0">
      <w:pPr>
        <w:pStyle w:val="Nadpis2"/>
        <w:jc w:val="both"/>
      </w:pPr>
      <w:r w:rsidRPr="00A9751E">
        <w:t>Tato Smlouva se uzavírá na dobu určitou do ukončení poslední z</w:t>
      </w:r>
      <w:r w:rsidR="007B5FD0" w:rsidRPr="00A9751E">
        <w:t> </w:t>
      </w:r>
      <w:r w:rsidRPr="00A9751E">
        <w:t>činností</w:t>
      </w:r>
      <w:r w:rsidR="007B5FD0" w:rsidRPr="00A9751E">
        <w:t xml:space="preserve"> uvedených v bodu </w:t>
      </w:r>
      <w:r w:rsidR="007B5FD0" w:rsidRPr="00A9751E">
        <w:fldChar w:fldCharType="begin"/>
      </w:r>
      <w:r w:rsidR="007B5FD0" w:rsidRPr="00A9751E">
        <w:instrText xml:space="preserve"> REF _Ref143700979 \r \h </w:instrText>
      </w:r>
      <w:r w:rsidR="00A9751E">
        <w:instrText xml:space="preserve"> \* MERGEFORMAT </w:instrText>
      </w:r>
      <w:r w:rsidR="007B5FD0" w:rsidRPr="00A9751E">
        <w:fldChar w:fldCharType="separate"/>
      </w:r>
      <w:r w:rsidR="00CF31C8">
        <w:t>01.1</w:t>
      </w:r>
      <w:r w:rsidR="007B5FD0" w:rsidRPr="00A9751E">
        <w:fldChar w:fldCharType="end"/>
      </w:r>
      <w:r w:rsidR="00B952C3">
        <w:t xml:space="preserve"> </w:t>
      </w:r>
      <w:r w:rsidR="00B00CA5">
        <w:t xml:space="preserve">           </w:t>
      </w:r>
      <w:r w:rsidR="00B952C3">
        <w:t>či vyčerpání maximální odměny dle bodu 04.</w:t>
      </w:r>
      <w:r w:rsidR="00AC2909">
        <w:t>2</w:t>
      </w:r>
      <w:r w:rsidR="00A2132B">
        <w:t>, nejpozději však do 31.</w:t>
      </w:r>
      <w:r w:rsidR="00DE2B83">
        <w:t>07</w:t>
      </w:r>
      <w:r w:rsidR="00DD342D">
        <w:t>.</w:t>
      </w:r>
      <w:r w:rsidR="00A2132B">
        <w:t xml:space="preserve"> 202</w:t>
      </w:r>
      <w:r w:rsidR="00DE2B83">
        <w:t>5</w:t>
      </w:r>
      <w:r w:rsidR="00A2132B">
        <w:t xml:space="preserve">. </w:t>
      </w:r>
    </w:p>
    <w:p w14:paraId="514289EF" w14:textId="77777777" w:rsidR="00665ACC" w:rsidRDefault="00665ACC" w:rsidP="008B1581">
      <w:pPr>
        <w:pStyle w:val="Nadpis1"/>
      </w:pPr>
      <w:r>
        <w:t>Výpověď</w:t>
      </w:r>
    </w:p>
    <w:p w14:paraId="00B277D6" w14:textId="493EFFF3" w:rsidR="00665ACC" w:rsidRDefault="00665ACC" w:rsidP="0080328E">
      <w:pPr>
        <w:pStyle w:val="Nadpis2"/>
        <w:jc w:val="both"/>
      </w:pPr>
      <w:r>
        <w:t xml:space="preserve">Kterákoliv ze Smluvních stran může tuto Smlouvu vypovědět s výpovědní dobou patnáct (15) kalendářních dnů v souladu s právními předpisy. Výpovědní doba počíná běžet prvním dnem následujícím po dni, ve kterém byla výpověď doručena druhé Smluvní straně. Klient je v souladu </w:t>
      </w:r>
      <w:r w:rsidR="00B00CA5">
        <w:t xml:space="preserve">          </w:t>
      </w:r>
      <w:r>
        <w:t>se zákonem o advokacii oprávněn smlouvu vypovědět kdykoli i bez uvedení důvodu.</w:t>
      </w:r>
    </w:p>
    <w:p w14:paraId="59ABF055" w14:textId="794042FC" w:rsidR="00665ACC" w:rsidRDefault="00665ACC" w:rsidP="0080328E">
      <w:pPr>
        <w:pStyle w:val="Nadpis2"/>
        <w:jc w:val="both"/>
      </w:pPr>
      <w:r>
        <w:t>Byla-li na základě Smlouvy udělena Advokátovi plná moc k jednání za Klientem s třetími osobami, považuje se plná moc za odvolanou dnem účinnosti výpovědi Smlouvy, nestanoví-li výpověď pozdější datum zániku plné moci. Ustanovení obecně závazných právních předpisů o účinnosti odvolání plné moci vůči třetím osobám tímto zůstávají nedotčena.</w:t>
      </w:r>
    </w:p>
    <w:p w14:paraId="4A223B31" w14:textId="2C239CEE" w:rsidR="00665ACC" w:rsidRDefault="00665ACC" w:rsidP="0080328E">
      <w:pPr>
        <w:pStyle w:val="Nadpis2"/>
        <w:jc w:val="both"/>
      </w:pPr>
      <w:r>
        <w:t xml:space="preserve">Výpovědí Smlouvy není dotčena povinnost Klienta uhradit Advokátovi cenu za Právní služby poskytnuté před ukončením této Smlouvy, ani povinnost Klienta uhradit náklady, které vznikly Advokátovi </w:t>
      </w:r>
      <w:r w:rsidR="00B00CA5">
        <w:t xml:space="preserve">                </w:t>
      </w:r>
      <w:r>
        <w:t>v souvislosti s poskytnutím Právních služeb před ukončením této Smlouvy.</w:t>
      </w:r>
    </w:p>
    <w:p w14:paraId="22DA3F16" w14:textId="64271A01" w:rsidR="006D6189" w:rsidRPr="001D14B7" w:rsidRDefault="009455F8" w:rsidP="001C6AA4">
      <w:pPr>
        <w:pStyle w:val="Nadpis1"/>
      </w:pPr>
      <w:r>
        <w:t>O</w:t>
      </w:r>
      <w:r w:rsidRPr="009455F8">
        <w:t>patření k programu souladu a protikorupčnímu programu</w:t>
      </w:r>
    </w:p>
    <w:p w14:paraId="29B2FAF9" w14:textId="4830D2D5" w:rsidR="006D6189" w:rsidRPr="001D14B7" w:rsidRDefault="006D6189" w:rsidP="000F42F6">
      <w:pPr>
        <w:pStyle w:val="Nadpis2"/>
        <w:jc w:val="both"/>
      </w:pPr>
      <w:r w:rsidRPr="001D14B7">
        <w:t>T</w:t>
      </w:r>
      <w:r w:rsidR="009455F8">
        <w:t xml:space="preserve">ento článek smlouvy </w:t>
      </w:r>
      <w:r w:rsidRPr="001D14B7">
        <w:t xml:space="preserve">představuje zásady a principy </w:t>
      </w:r>
      <w:r w:rsidR="009455F8">
        <w:t>programu souladu a p</w:t>
      </w:r>
      <w:r w:rsidRPr="001D14B7">
        <w:t xml:space="preserve">rotikorupčního programu </w:t>
      </w:r>
      <w:r w:rsidR="00886CBE">
        <w:rPr>
          <w:rFonts w:eastAsia="Times New Roman"/>
        </w:rPr>
        <w:t>Klienta</w:t>
      </w:r>
      <w:r w:rsidRPr="001D14B7">
        <w:t xml:space="preserve">. </w:t>
      </w:r>
    </w:p>
    <w:p w14:paraId="5252DCFA" w14:textId="0A934385" w:rsidR="006D6189" w:rsidRPr="001D14B7" w:rsidRDefault="00886CBE" w:rsidP="000F42F6">
      <w:pPr>
        <w:pStyle w:val="Nadpis2"/>
        <w:jc w:val="both"/>
      </w:pPr>
      <w:r>
        <w:rPr>
          <w:rFonts w:eastAsia="Times New Roman"/>
        </w:rPr>
        <w:t>Advokát</w:t>
      </w:r>
      <w:r w:rsidR="006D6189" w:rsidRPr="001D14B7">
        <w:t xml:space="preserve"> potvrzuje, že měl možnost se seznámit s Etickým kodexem </w:t>
      </w:r>
      <w:r>
        <w:rPr>
          <w:rFonts w:eastAsia="Times New Roman"/>
        </w:rPr>
        <w:t>Klienta</w:t>
      </w:r>
      <w:r w:rsidR="006D6189" w:rsidRPr="001D14B7">
        <w:t xml:space="preserve">. </w:t>
      </w:r>
    </w:p>
    <w:p w14:paraId="09D3DE89" w14:textId="14150FF8" w:rsidR="009455F8" w:rsidRPr="009455F8" w:rsidRDefault="00886CBE" w:rsidP="000F42F6">
      <w:pPr>
        <w:pStyle w:val="Nadpis2"/>
        <w:jc w:val="both"/>
      </w:pPr>
      <w:r>
        <w:rPr>
          <w:rFonts w:eastAsia="Times New Roman"/>
        </w:rPr>
        <w:t>Advokát</w:t>
      </w:r>
      <w:r w:rsidR="006D6189" w:rsidRPr="001D14B7">
        <w:t xml:space="preserve"> se zavazuje</w:t>
      </w:r>
      <w:r w:rsidR="009455F8">
        <w:t xml:space="preserve"> </w:t>
      </w:r>
      <w:r w:rsidR="009455F8" w:rsidRPr="009455F8">
        <w:t xml:space="preserve">usilovat o minimalizaci negativních dopadů své podnikatelské činnosti na životní prostředí. Dále se Advokát zavazuje, že nebude tolerovat jakoukoliv formu obtěžování či diskriminace a zaručí rovné příležitosti lidem bez ohledu na pohlaví, barvu pleti, etnickou příslušnost, rasu, národnost, náboženství či jiné odlišné charakteristiky včetně řádné ochrany jejich osobních údajů. Advokátní kancelář se zavazuje chovat se vstřícně a ohleduplně, zejména k handicapovaným, vážně nemocným, seniorům a rodinám s dětmi. </w:t>
      </w:r>
    </w:p>
    <w:p w14:paraId="4FF43757" w14:textId="7200F0BA" w:rsidR="006D6189" w:rsidRPr="001D14B7" w:rsidRDefault="009455F8" w:rsidP="000F42F6">
      <w:pPr>
        <w:pStyle w:val="Nadpis2"/>
        <w:jc w:val="both"/>
      </w:pPr>
      <w:r>
        <w:rPr>
          <w:rFonts w:eastAsia="Times New Roman"/>
        </w:rPr>
        <w:lastRenderedPageBreak/>
        <w:t>Advokát</w:t>
      </w:r>
      <w:r w:rsidRPr="001D14B7">
        <w:t xml:space="preserve"> se zavazuje</w:t>
      </w:r>
      <w:r>
        <w:t xml:space="preserve">, že </w:t>
      </w:r>
      <w:r w:rsidR="006D6189" w:rsidRPr="001D14B7">
        <w:t xml:space="preserve">učiní všechna opatření k tomu, aby se nedopustil on a ani nikdo z jejich zaměstnanců či zástupců jakékoliv formy korupčního jednání, zejména jednání, které by mohlo být vnímáno jako přijetí úplatku, podplacení, nepřímé úplatkářství či jiný trestný čin spojený s korupcí </w:t>
      </w:r>
      <w:r w:rsidR="00B00CA5">
        <w:t xml:space="preserve">      </w:t>
      </w:r>
      <w:r w:rsidR="006D6189" w:rsidRPr="001D14B7">
        <w:t xml:space="preserve">dle zákona č. 40/2009 Sb., trestní zákoník, ve znění pozdějších předpisů.  </w:t>
      </w:r>
    </w:p>
    <w:p w14:paraId="66FBDA3F" w14:textId="539497CD" w:rsidR="006D6189" w:rsidRPr="001D14B7" w:rsidRDefault="00886CBE" w:rsidP="000F42F6">
      <w:pPr>
        <w:pStyle w:val="Nadpis2"/>
        <w:jc w:val="both"/>
      </w:pPr>
      <w:r>
        <w:rPr>
          <w:rFonts w:eastAsia="Times New Roman"/>
        </w:rPr>
        <w:t>Advokát</w:t>
      </w:r>
      <w:r w:rsidR="006D6189" w:rsidRPr="001D14B7">
        <w:t xml:space="preserve"> se zavazuje, že: </w:t>
      </w:r>
    </w:p>
    <w:p w14:paraId="66F09453" w14:textId="77777777" w:rsidR="006D6189" w:rsidRPr="001D14B7" w:rsidRDefault="006D6189" w:rsidP="000F42F6">
      <w:pPr>
        <w:pStyle w:val="Nadpis3"/>
        <w:jc w:val="both"/>
      </w:pPr>
      <w:r w:rsidRPr="001D14B7">
        <w:t xml:space="preserve">neposkytne, nenabídne ani neslíbí úplatek jinému nebo pro jiného v souvislosti s obstaráváním věcí obecného zájmu nebo v souvislosti s podnikáním svým nebo jiného, </w:t>
      </w:r>
    </w:p>
    <w:p w14:paraId="36773481" w14:textId="77777777" w:rsidR="006D6189" w:rsidRPr="001D14B7" w:rsidRDefault="006D6189" w:rsidP="000F42F6">
      <w:pPr>
        <w:pStyle w:val="Nadpis3"/>
        <w:jc w:val="both"/>
      </w:pPr>
      <w:r w:rsidRPr="001D14B7">
        <w:t xml:space="preserve">neposkytne, nenabídne ani neslíbí neoprávněné výhody třetím osobám, </w:t>
      </w:r>
    </w:p>
    <w:p w14:paraId="1626187A" w14:textId="77777777" w:rsidR="006D6189" w:rsidRPr="001D14B7" w:rsidRDefault="006D6189" w:rsidP="000F42F6">
      <w:pPr>
        <w:pStyle w:val="Nadpis3"/>
        <w:jc w:val="both"/>
      </w:pPr>
      <w:r w:rsidRPr="001D14B7">
        <w:t xml:space="preserve">úplatek nepřijme, ani si jej nedá slíbit, ať už pro sebe nebo pro jiného v souvislosti s obstaráním věcí obecného zájmu nebo v souvislosti s podnikám svým nebo jiného, </w:t>
      </w:r>
    </w:p>
    <w:p w14:paraId="4E85AB1B" w14:textId="77777777" w:rsidR="006D6189" w:rsidRPr="001D14B7" w:rsidRDefault="006D6189" w:rsidP="000F42F6">
      <w:pPr>
        <w:pStyle w:val="Nadpis3"/>
        <w:jc w:val="both"/>
      </w:pPr>
      <w:r w:rsidRPr="001D14B7">
        <w:t xml:space="preserve">nebude ani u svých obchodních partnerů tolerovat jakoukoliv formu korupce či uplácení. </w:t>
      </w:r>
    </w:p>
    <w:p w14:paraId="7901F9C8" w14:textId="6FFA6DFF" w:rsidR="006D6189" w:rsidRPr="001D14B7" w:rsidRDefault="006D6189" w:rsidP="000F42F6">
      <w:pPr>
        <w:pStyle w:val="Nadpis3"/>
        <w:jc w:val="both"/>
      </w:pPr>
      <w:r w:rsidRPr="001D14B7">
        <w:t xml:space="preserve">neprodleně </w:t>
      </w:r>
      <w:r w:rsidR="00886CBE">
        <w:rPr>
          <w:rFonts w:eastAsia="Times New Roman"/>
        </w:rPr>
        <w:t>Klient</w:t>
      </w:r>
      <w:r w:rsidRPr="001D14B7">
        <w:rPr>
          <w:rFonts w:eastAsia="Times New Roman"/>
        </w:rPr>
        <w:t>i</w:t>
      </w:r>
      <w:r w:rsidRPr="001D14B7">
        <w:t xml:space="preserve"> oznámí, pokud se dostane vůči </w:t>
      </w:r>
      <w:r w:rsidR="00886CBE">
        <w:rPr>
          <w:rFonts w:eastAsia="Times New Roman"/>
        </w:rPr>
        <w:t>Klientovi</w:t>
      </w:r>
      <w:r w:rsidRPr="001D14B7">
        <w:rPr>
          <w:rFonts w:eastAsia="Times New Roman"/>
        </w:rPr>
        <w:t xml:space="preserve"> </w:t>
      </w:r>
      <w:r w:rsidRPr="001D14B7">
        <w:t xml:space="preserve">do střetu zájmů. </w:t>
      </w:r>
    </w:p>
    <w:p w14:paraId="5BD858BA" w14:textId="710E2272" w:rsidR="006D6189" w:rsidRPr="001D14B7" w:rsidRDefault="006D6189" w:rsidP="000F42F6">
      <w:pPr>
        <w:pStyle w:val="Nadpis2"/>
        <w:jc w:val="both"/>
      </w:pPr>
      <w:r w:rsidRPr="001D14B7">
        <w:t xml:space="preserve">Úplatkem se rozumí neoprávněná výhoda spočívající v přímém majetkovém obohacení nebo jiném zvýhodnění, které se dostává nebo má dostat uplácené osobě nebo s jejím souhlasem jiné osobě, </w:t>
      </w:r>
      <w:r w:rsidR="00B00CA5">
        <w:t xml:space="preserve">        </w:t>
      </w:r>
      <w:r w:rsidRPr="001D14B7">
        <w:t xml:space="preserve">a na kterou není nárok.   </w:t>
      </w:r>
    </w:p>
    <w:p w14:paraId="15D0C724" w14:textId="35A83684" w:rsidR="006D6189" w:rsidRPr="001D14B7" w:rsidRDefault="00886CBE" w:rsidP="000F42F6">
      <w:pPr>
        <w:pStyle w:val="Nadpis2"/>
        <w:jc w:val="both"/>
      </w:pPr>
      <w:r>
        <w:rPr>
          <w:rFonts w:eastAsia="Times New Roman"/>
        </w:rPr>
        <w:t>Advokát</w:t>
      </w:r>
      <w:r w:rsidR="006D6189" w:rsidRPr="001D14B7">
        <w:rPr>
          <w:rFonts w:eastAsia="Times New Roman"/>
        </w:rPr>
        <w:t xml:space="preserve"> </w:t>
      </w:r>
      <w:r w:rsidR="006D6189" w:rsidRPr="001D14B7">
        <w:t xml:space="preserve">se zavazuje neprodleně oznámit </w:t>
      </w:r>
      <w:r>
        <w:rPr>
          <w:rFonts w:eastAsia="Times New Roman"/>
        </w:rPr>
        <w:t>Klientovi</w:t>
      </w:r>
      <w:r w:rsidR="006D6189" w:rsidRPr="001D14B7">
        <w:t xml:space="preserve"> jakékoliv podezření na korupční či jiné protiprávní jednání prostřednictvím komunikačních kanálů: </w:t>
      </w:r>
    </w:p>
    <w:p w14:paraId="05747551" w14:textId="77777777" w:rsidR="006D6189" w:rsidRPr="001D14B7" w:rsidRDefault="006D6189" w:rsidP="000F42F6">
      <w:pPr>
        <w:pStyle w:val="Nadpis3"/>
        <w:jc w:val="both"/>
      </w:pPr>
      <w:r w:rsidRPr="001D14B7">
        <w:t xml:space="preserve">elektronická adresa: </w:t>
      </w:r>
      <w:r w:rsidRPr="001D14B7">
        <w:rPr>
          <w:rFonts w:eastAsia="Times New Roman"/>
          <w:color w:val="auto"/>
        </w:rPr>
        <w:t>compliance@pvs.cz</w:t>
      </w:r>
      <w:r w:rsidRPr="001D14B7">
        <w:t xml:space="preserve">, </w:t>
      </w:r>
    </w:p>
    <w:p w14:paraId="5FC5519B" w14:textId="77777777" w:rsidR="006D6189" w:rsidRPr="001D14B7" w:rsidRDefault="006D6189" w:rsidP="000F42F6">
      <w:pPr>
        <w:pStyle w:val="Nadpis3"/>
        <w:jc w:val="both"/>
      </w:pPr>
      <w:r w:rsidRPr="001D14B7">
        <w:t xml:space="preserve">korespondenční adresa: Pražská vodohospodářská společnost a.s., Evropská 866/ 67, Vokovice, 160 00 Praha 6. (v případě doručení poštou je třeba na obálku vždy výraznou formou uvést: „Neotvírat – k rukám Compliance specialisty“). </w:t>
      </w:r>
    </w:p>
    <w:p w14:paraId="2FD89574" w14:textId="3F95DB6F" w:rsidR="006D6189" w:rsidRPr="001D14B7" w:rsidRDefault="00886CBE" w:rsidP="000F42F6">
      <w:pPr>
        <w:pStyle w:val="Nadpis2"/>
        <w:jc w:val="both"/>
      </w:pPr>
      <w:r>
        <w:rPr>
          <w:rFonts w:eastAsia="Times New Roman"/>
        </w:rPr>
        <w:t>Advokát</w:t>
      </w:r>
      <w:r w:rsidR="006D6189" w:rsidRPr="001D14B7">
        <w:t xml:space="preserve"> je povinen poskytnout </w:t>
      </w:r>
      <w:r>
        <w:rPr>
          <w:rFonts w:eastAsia="Times New Roman"/>
        </w:rPr>
        <w:t>Klientovi</w:t>
      </w:r>
      <w:r w:rsidR="006D6189" w:rsidRPr="001D14B7">
        <w:t xml:space="preserve"> nezbytnou součinnost, zejména potřebné dokumenty </w:t>
      </w:r>
      <w:r w:rsidR="00B00CA5">
        <w:t xml:space="preserve">                </w:t>
      </w:r>
      <w:r w:rsidR="006D6189" w:rsidRPr="001D14B7">
        <w:t xml:space="preserve">a informace, při prošetřování podezření na korupční jednání či jiné protiprávní jednání v rámci </w:t>
      </w:r>
      <w:r>
        <w:rPr>
          <w:rFonts w:eastAsia="Times New Roman"/>
        </w:rPr>
        <w:t>Klienta</w:t>
      </w:r>
      <w:r w:rsidR="006D6189" w:rsidRPr="001D14B7">
        <w:rPr>
          <w:rFonts w:eastAsia="Times New Roman"/>
        </w:rPr>
        <w:t>/PVS</w:t>
      </w:r>
      <w:r w:rsidR="006D6189" w:rsidRPr="001D14B7">
        <w:t xml:space="preserve">.  </w:t>
      </w:r>
    </w:p>
    <w:p w14:paraId="22EA5D6E" w14:textId="198B786C" w:rsidR="006D6189" w:rsidRPr="001D14B7" w:rsidRDefault="00886CBE" w:rsidP="000F42F6">
      <w:pPr>
        <w:pStyle w:val="Nadpis2"/>
        <w:jc w:val="both"/>
      </w:pPr>
      <w:r>
        <w:rPr>
          <w:rFonts w:eastAsia="Times New Roman"/>
        </w:rPr>
        <w:t>Klient</w:t>
      </w:r>
      <w:r w:rsidR="006D6189" w:rsidRPr="001D14B7">
        <w:t xml:space="preserve"> se zavazuje, že </w:t>
      </w:r>
      <w:r>
        <w:rPr>
          <w:rFonts w:eastAsia="Times New Roman"/>
        </w:rPr>
        <w:t>Advokát</w:t>
      </w:r>
      <w:r w:rsidR="006D6189" w:rsidRPr="001D14B7">
        <w:t xml:space="preserve">, jeho zaměstnanci ani žádné třetí osoby nebudou vystaveny postihu </w:t>
      </w:r>
      <w:r w:rsidR="00B00CA5">
        <w:t xml:space="preserve">    </w:t>
      </w:r>
      <w:r w:rsidR="006D6189" w:rsidRPr="001D14B7">
        <w:t xml:space="preserve">ani znevýhodnění za to, že v dobré víře nahlásí podezření na korupční či jiné protiprávní jednání </w:t>
      </w:r>
      <w:r w:rsidR="00B00CA5">
        <w:t xml:space="preserve">             </w:t>
      </w:r>
      <w:r w:rsidR="006D6189" w:rsidRPr="001D14B7">
        <w:t xml:space="preserve">v rámci </w:t>
      </w:r>
      <w:r>
        <w:rPr>
          <w:rFonts w:eastAsia="Times New Roman"/>
        </w:rPr>
        <w:t>Klienta</w:t>
      </w:r>
      <w:r w:rsidR="006D6189" w:rsidRPr="001D14B7">
        <w:rPr>
          <w:rFonts w:eastAsia="Times New Roman"/>
        </w:rPr>
        <w:t>/PVS</w:t>
      </w:r>
      <w:r w:rsidR="006D6189" w:rsidRPr="001D14B7">
        <w:t xml:space="preserve">. </w:t>
      </w:r>
    </w:p>
    <w:p w14:paraId="140F1A15" w14:textId="73C08314" w:rsidR="006D6189" w:rsidRPr="001D14B7" w:rsidRDefault="006D6189" w:rsidP="000F42F6">
      <w:pPr>
        <w:pStyle w:val="Nadpis2"/>
        <w:jc w:val="both"/>
      </w:pPr>
      <w:r w:rsidRPr="001D14B7">
        <w:t xml:space="preserve">Pokud </w:t>
      </w:r>
      <w:r w:rsidR="00886CBE">
        <w:rPr>
          <w:rFonts w:eastAsia="Times New Roman"/>
        </w:rPr>
        <w:t>Advokát</w:t>
      </w:r>
      <w:r w:rsidRPr="001D14B7">
        <w:rPr>
          <w:rFonts w:eastAsia="Times New Roman"/>
        </w:rPr>
        <w:t xml:space="preserve"> </w:t>
      </w:r>
      <w:r w:rsidRPr="001D14B7">
        <w:t xml:space="preserve">poruší jakoukoli povinnost uvedenou výše v této doložce, může </w:t>
      </w:r>
      <w:r w:rsidR="00886CBE">
        <w:rPr>
          <w:rFonts w:eastAsia="Times New Roman"/>
        </w:rPr>
        <w:t>Klient</w:t>
      </w:r>
      <w:r w:rsidRPr="001D14B7">
        <w:t xml:space="preserve"> dočasně přerušit plnění této smlouvy nebo</w:t>
      </w:r>
      <w:r w:rsidRPr="001D14B7">
        <w:rPr>
          <w:color w:val="auto"/>
        </w:rPr>
        <w:t xml:space="preserve"> </w:t>
      </w:r>
      <w:r w:rsidRPr="001D14B7">
        <w:t xml:space="preserve">ji okamžitě ukončit odstoupením nebo výpovědí s okamžitou účinností </w:t>
      </w:r>
      <w:r w:rsidR="00B00CA5">
        <w:t xml:space="preserve">            </w:t>
      </w:r>
      <w:r w:rsidRPr="001D14B7">
        <w:t xml:space="preserve">a bez vzniku jakékoli odpovědnosti vůči </w:t>
      </w:r>
      <w:r w:rsidRPr="001D14B7">
        <w:rPr>
          <w:rFonts w:eastAsia="Times New Roman"/>
        </w:rPr>
        <w:t>Poskytovateli</w:t>
      </w:r>
      <w:r w:rsidRPr="001D14B7">
        <w:t xml:space="preserve">. </w:t>
      </w:r>
    </w:p>
    <w:p w14:paraId="2268584B" w14:textId="272838C4" w:rsidR="006D6189" w:rsidRPr="001D14B7" w:rsidRDefault="006D6189" w:rsidP="000F42F6">
      <w:pPr>
        <w:pStyle w:val="Nadpis2"/>
        <w:jc w:val="both"/>
      </w:pPr>
      <w:r w:rsidRPr="001D14B7">
        <w:t xml:space="preserve">Pro vyloučení pochybností se uvádí, že si </w:t>
      </w:r>
      <w:r w:rsidR="00886CBE">
        <w:rPr>
          <w:rFonts w:eastAsia="Times New Roman"/>
        </w:rPr>
        <w:t>Klient</w:t>
      </w:r>
      <w:r w:rsidRPr="001D14B7">
        <w:t xml:space="preserve"> vyhrazuje právo zpřístupnit veškeré informace týkající se porušení tohoto článku orgánům činným v trestním řízení, regulatorním orgánům, jiným vyšetřujícím orgánům či jiným třetím osobám, vyhrazuje si právo zahájit občanskoprávní řízení za účelem získání náhrady škod, které jí byly způsobeny v důsledku porušení tohoto ustanovení. </w:t>
      </w:r>
    </w:p>
    <w:p w14:paraId="0B66B95C" w14:textId="6850575D" w:rsidR="00665ACC" w:rsidRDefault="00665ACC" w:rsidP="008B1581">
      <w:pPr>
        <w:pStyle w:val="Nadpis1"/>
      </w:pPr>
      <w:r>
        <w:t>Závěrečná ustanovení</w:t>
      </w:r>
    </w:p>
    <w:p w14:paraId="7EE1B51E" w14:textId="74F54E1B" w:rsidR="00665ACC" w:rsidRPr="001C6AA4" w:rsidRDefault="00665ACC" w:rsidP="0080328E">
      <w:pPr>
        <w:pStyle w:val="Nadpis2"/>
        <w:jc w:val="both"/>
      </w:pPr>
      <w:r w:rsidRPr="00A9751E">
        <w:t>Tato Smlouva nabývá platnosti a účinnosti dnem uveřejnění v registru smluv</w:t>
      </w:r>
      <w:r w:rsidR="00A2132B">
        <w:t>.</w:t>
      </w:r>
    </w:p>
    <w:p w14:paraId="33EE30AB" w14:textId="4BC781EC" w:rsidR="00665ACC" w:rsidRPr="00A9751E" w:rsidRDefault="00665ACC" w:rsidP="0080328E">
      <w:pPr>
        <w:pStyle w:val="Nadpis2"/>
        <w:jc w:val="both"/>
      </w:pPr>
      <w:r w:rsidRPr="00A9751E">
        <w:t xml:space="preserve">Smluvní strany berou na vědomí, že tato Smlouva podléhá uveřejnění v registru smluv podle zákona č. 340/2015 Sb., o zvláštních podmínkách účinnosti některých smluv, uveřejňování těchto smluv </w:t>
      </w:r>
      <w:r w:rsidR="00B00CA5">
        <w:t xml:space="preserve">            </w:t>
      </w:r>
      <w:r w:rsidRPr="00A9751E">
        <w:t>a o registru smluv</w:t>
      </w:r>
      <w:r w:rsidR="006674ED">
        <w:t xml:space="preserve"> (zákon o registru smluv)</w:t>
      </w:r>
      <w:r w:rsidRPr="00A9751E">
        <w:t xml:space="preserve">, ve znění pozdějších předpisů, a současně souhlasí </w:t>
      </w:r>
      <w:r w:rsidR="00B00CA5">
        <w:t xml:space="preserve">              </w:t>
      </w:r>
      <w:r w:rsidRPr="00A9751E">
        <w:t xml:space="preserve">se zveřejněním údajů o identifikaci Smluvních stran, předmětu Smlouvy, jeho ceně či hodnotě a datu uzavření této Smlouvy. Zaslání Smlouvy správci registru smluv k uveřejnění v registru smluv zajišťuje Klient. </w:t>
      </w:r>
      <w:r w:rsidR="00B1397F" w:rsidRPr="001D14B7">
        <w:rPr>
          <w:rFonts w:eastAsia="Times New Roman" w:cs="Tahoma"/>
          <w:szCs w:val="19"/>
        </w:rPr>
        <w:t>Uveřejněním prostřednictvím registru smluv se rozumí vložení elektronického obrazu textového obsahu smlouvy v otevřeném a strojově čitelném formátu a rovněž metadat do registru smluv.</w:t>
      </w:r>
    </w:p>
    <w:p w14:paraId="53CDD1D5" w14:textId="57D71302" w:rsidR="00665ACC" w:rsidRPr="00A9751E" w:rsidRDefault="00665ACC" w:rsidP="0080328E">
      <w:pPr>
        <w:pStyle w:val="Nadpis2"/>
        <w:jc w:val="both"/>
      </w:pPr>
      <w:r w:rsidRPr="00A9751E">
        <w:t>Advokát se jakožto správce osobních údajů, které mu budou na základě této Smlouvy Klientem poskytnuty, zavazuje, že bude tyto osobní údaje zpracovávat v souladu s právními předpisy, především se zákonem o advokacii a Nařízením Evropského parlamentu a Rady (EU) 2016/679 ze dne 27. dubna 2016 o ochraně fyzických osob v souvislosti se zpracováním osobních údajů a o volném pohybu těchto údajů a o zrušení směrnice 95/46/ES. Informace související se zpracováním osobních údajů Klienta jsou dostupné</w:t>
      </w:r>
      <w:r w:rsidR="005974B1" w:rsidRPr="00A9751E">
        <w:t xml:space="preserve"> na webu na stránce https://akccs.cz/osobni-udaje.</w:t>
      </w:r>
    </w:p>
    <w:p w14:paraId="19F7BDAF" w14:textId="03E2F0C0" w:rsidR="00665ACC" w:rsidRDefault="00665ACC" w:rsidP="0080328E">
      <w:pPr>
        <w:pStyle w:val="Nadpis2"/>
        <w:jc w:val="both"/>
      </w:pPr>
      <w:r>
        <w:lastRenderedPageBreak/>
        <w:t xml:space="preserve">Klient byl poučen o důsledcích vyplývajících z ust. § 347a odst. 1 zákona č. 40/2009 Sb., trestní zákoník ve znění pozdějších předpisů, které zní takto: „(1) Kdo pro účely zahájení řízení před soudem, </w:t>
      </w:r>
      <w:r w:rsidR="00B00CA5">
        <w:t xml:space="preserve">             </w:t>
      </w:r>
      <w:r>
        <w:t xml:space="preserve">před mezinárodním soudním orgánem nebo trestního řízení anebo v takovém řízení předloží věcný nebo listinný důkazní prostředek, který má podstatný význam pro rozhodnutí, o kterém ví, </w:t>
      </w:r>
      <w:r w:rsidR="00B00CA5">
        <w:t xml:space="preserve">                      </w:t>
      </w:r>
      <w:r>
        <w:t xml:space="preserve">že je padělaný nebo pozměněný, v úmyslu, aby byl použit jako pravý, anebo padělá nebo pozmění takový důkazní prostředek v úmyslu, aby byl použit jako pravý, bude potrestán odnětím svobody </w:t>
      </w:r>
      <w:r w:rsidR="00B00CA5">
        <w:t xml:space="preserve">          </w:t>
      </w:r>
      <w:r>
        <w:t>až na dvě léta.“ V této souvislosti byl Klient rovněž poučen o tom, že ve smyslu čl. 6 odst. 3 usnesení představenstva České advokátní komory č. 1/1997 Věstníku, kterým se stanoví pravidla profesionální etiky a pravidla soutěže advokátů České republiky (etický kodex), ve znění pozdějších předpisů, není Advokát oprávněn bez souhlasu Klienta ověřovat pravdivost nebo úplnost skutkových informací poskytnutých Klientem. Podpisem této Smlouvy Klient mimo jiné stvrzuje, že byl poučen o nutnosti sdělit Advokátovi jemu známé informace o možnosti, že by vůči předloženým důkazům mohlo být namítnuto, že jsou padělané anebo pozměněné, a pro takový případ s Advokátem projednat vhodný postup. Bez tohoto upozornění Advokát neodpovídá za věcnou správnost a autentičnost důkazů, které soudu podle pokynu Klienta předloží.</w:t>
      </w:r>
    </w:p>
    <w:p w14:paraId="5034AC3A" w14:textId="7DC7ACFC" w:rsidR="00665ACC" w:rsidRDefault="00665ACC" w:rsidP="0080328E">
      <w:pPr>
        <w:pStyle w:val="Nadpis2"/>
        <w:jc w:val="both"/>
      </w:pPr>
      <w:r>
        <w:t>Klient bere na vědomí a souhlasí s tím, že výstupy zpracované Advokátem na základě této Smlouvy (zejména stanoviska, analýzy a jiné podklady) slouží výlučně pro vnitřní potřeby Klienta. Nevyplývá-li z povahy dokumentu jinak, Klient není oprávněn bez souhlasu Advokáta poskytovat takové dokumenty třetím osobám.</w:t>
      </w:r>
    </w:p>
    <w:p w14:paraId="0FC01C1E" w14:textId="6821FABF" w:rsidR="00665ACC" w:rsidRDefault="00665ACC" w:rsidP="0080328E">
      <w:pPr>
        <w:pStyle w:val="Nadpis2"/>
        <w:jc w:val="both"/>
      </w:pPr>
      <w:r>
        <w:t>Právní vztahy založené touto Smlouvou se řídí českým právním řádem, zejména zákonem č.</w:t>
      </w:r>
      <w:r w:rsidR="00C766F5">
        <w:t> </w:t>
      </w:r>
      <w:r>
        <w:t>89/2012</w:t>
      </w:r>
      <w:r w:rsidR="00C766F5">
        <w:t> </w:t>
      </w:r>
      <w:r>
        <w:t>Sb., občanským zákoníkem, ve znění pozdějších předpisů, a zákonem o advokacii.</w:t>
      </w:r>
    </w:p>
    <w:p w14:paraId="580365B7" w14:textId="0C17DC0F" w:rsidR="00665ACC" w:rsidRDefault="00665ACC" w:rsidP="0080328E">
      <w:pPr>
        <w:pStyle w:val="Nadpis2"/>
        <w:jc w:val="both"/>
      </w:pPr>
      <w:r>
        <w:t xml:space="preserve">Neplatnost, neúčinnost nebo nevynutitelnost jakéhokoliv ustanovení této Smlouvy nemá vliv </w:t>
      </w:r>
      <w:r w:rsidR="00B00CA5">
        <w:t xml:space="preserve">                 </w:t>
      </w:r>
      <w:r>
        <w:t xml:space="preserve">na platnost, účinnost nebo vynutitelnost ostatních ustanovení Smlouvy. Smluvní strany mají povinnost takové ujednání okamžitě nahradit smluvním ujednáním bezvadným, které se svým obsahem </w:t>
      </w:r>
      <w:r w:rsidR="00B00CA5">
        <w:t xml:space="preserve">               </w:t>
      </w:r>
      <w:r>
        <w:t>co nejvíce blíží smyslu a účelu Smlouvy.</w:t>
      </w:r>
    </w:p>
    <w:p w14:paraId="15620DE0" w14:textId="75FE7515" w:rsidR="00665ACC" w:rsidRDefault="00665ACC" w:rsidP="0080328E">
      <w:pPr>
        <w:pStyle w:val="Nadpis2"/>
        <w:jc w:val="both"/>
      </w:pPr>
      <w:r>
        <w:t xml:space="preserve">Smlouvu lze měnit pouze formou písemných, vzestupně číslovaných dodatků podepsaných oběma Smluvními stranami. </w:t>
      </w:r>
    </w:p>
    <w:p w14:paraId="535B7990" w14:textId="32427410" w:rsidR="00665ACC" w:rsidRDefault="00665ACC" w:rsidP="0080328E">
      <w:pPr>
        <w:pStyle w:val="Nadpis2"/>
        <w:jc w:val="both"/>
      </w:pPr>
      <w:r>
        <w:t xml:space="preserve">Smlouva je </w:t>
      </w:r>
      <w:r w:rsidR="004A5FDB">
        <w:t xml:space="preserve">sepsána </w:t>
      </w:r>
      <w:r w:rsidR="004A5FDB" w:rsidRPr="004A5FDB">
        <w:t xml:space="preserve">v elektronické podobě, obě smluvní strany obdrží její elektronický originál. </w:t>
      </w:r>
    </w:p>
    <w:p w14:paraId="6D0839D3" w14:textId="7B5A097C" w:rsidR="00665ACC" w:rsidRDefault="00665ACC" w:rsidP="0080328E">
      <w:pPr>
        <w:pStyle w:val="Nadpis2"/>
        <w:jc w:val="both"/>
      </w:pPr>
      <w:r>
        <w:t xml:space="preserve">Smluvní strany potvrzují, že si Smlouvu přečetly, s jejím obsahem souhlasí a že je vyjádřením jejich svobodné vůle. Na důkaz toho připojují </w:t>
      </w:r>
      <w:r w:rsidR="004A5FDB" w:rsidRPr="004A5FDB">
        <w:t>k ní smluvní strany připojí své uznávané elektronické podpisy dle zákona č. 297/ 2016 Sb., o službách vytvářejících důvěru v elektronické transakce, ve znění pozdějších předpisů.</w:t>
      </w:r>
      <w:r w:rsidR="004A5FDB">
        <w:t xml:space="preserve"> </w:t>
      </w:r>
    </w:p>
    <w:tbl>
      <w:tblPr>
        <w:tblStyle w:val="Mkatabulky"/>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952"/>
        <w:gridCol w:w="584"/>
        <w:gridCol w:w="3936"/>
      </w:tblGrid>
      <w:tr w:rsidR="00665ACC" w:rsidRPr="0070791A" w14:paraId="5C30F15C" w14:textId="77777777" w:rsidTr="00665ACC">
        <w:tc>
          <w:tcPr>
            <w:tcW w:w="4519" w:type="dxa"/>
            <w:gridSpan w:val="2"/>
          </w:tcPr>
          <w:p w14:paraId="233ACD43" w14:textId="13A81EE1" w:rsidR="00665ACC" w:rsidRDefault="00665ACC" w:rsidP="0080328E">
            <w:pPr>
              <w:jc w:val="both"/>
            </w:pPr>
          </w:p>
        </w:tc>
        <w:tc>
          <w:tcPr>
            <w:tcW w:w="4520" w:type="dxa"/>
            <w:gridSpan w:val="2"/>
          </w:tcPr>
          <w:p w14:paraId="21E152C4" w14:textId="77777777" w:rsidR="00665ACC" w:rsidRDefault="00665ACC" w:rsidP="0080328E">
            <w:pPr>
              <w:jc w:val="both"/>
            </w:pPr>
          </w:p>
        </w:tc>
      </w:tr>
      <w:tr w:rsidR="00665ACC" w:rsidRPr="008F6AB5" w14:paraId="31228BCF" w14:textId="77777777" w:rsidTr="00DE2B83">
        <w:trPr>
          <w:trHeight w:val="470"/>
        </w:trPr>
        <w:tc>
          <w:tcPr>
            <w:tcW w:w="567" w:type="dxa"/>
            <w:vAlign w:val="center"/>
          </w:tcPr>
          <w:p w14:paraId="555530E6" w14:textId="2D3309C9" w:rsidR="00665ACC" w:rsidRPr="008F6AB5" w:rsidRDefault="00665ACC" w:rsidP="0080328E">
            <w:pPr>
              <w:jc w:val="both"/>
            </w:pPr>
            <w:r w:rsidRPr="008F6AB5">
              <w:t>V</w:t>
            </w:r>
          </w:p>
        </w:tc>
        <w:tc>
          <w:tcPr>
            <w:tcW w:w="3952" w:type="dxa"/>
            <w:vAlign w:val="center"/>
          </w:tcPr>
          <w:p w14:paraId="4041C7C3" w14:textId="492FE1D7" w:rsidR="00665ACC" w:rsidRPr="008F6AB5" w:rsidRDefault="00665ACC" w:rsidP="0080328E">
            <w:pPr>
              <w:jc w:val="both"/>
            </w:pPr>
            <w:r w:rsidRPr="008F6AB5">
              <w:t>Praze</w:t>
            </w:r>
          </w:p>
        </w:tc>
        <w:tc>
          <w:tcPr>
            <w:tcW w:w="584" w:type="dxa"/>
            <w:vAlign w:val="center"/>
          </w:tcPr>
          <w:p w14:paraId="3699665F" w14:textId="0F741B68" w:rsidR="00665ACC" w:rsidRPr="008F6AB5" w:rsidRDefault="00665ACC" w:rsidP="0080328E">
            <w:pPr>
              <w:jc w:val="both"/>
            </w:pPr>
            <w:r w:rsidRPr="008F6AB5">
              <w:t>V</w:t>
            </w:r>
          </w:p>
        </w:tc>
        <w:tc>
          <w:tcPr>
            <w:tcW w:w="3936" w:type="dxa"/>
            <w:vAlign w:val="center"/>
          </w:tcPr>
          <w:p w14:paraId="35F91EE2" w14:textId="5B7F1089" w:rsidR="00665ACC" w:rsidRPr="008F6AB5" w:rsidRDefault="00665ACC" w:rsidP="0080328E">
            <w:pPr>
              <w:jc w:val="both"/>
            </w:pPr>
            <w:r w:rsidRPr="008F6AB5">
              <w:t>Praze</w:t>
            </w:r>
          </w:p>
        </w:tc>
      </w:tr>
      <w:tr w:rsidR="00665ACC" w:rsidRPr="008F6AB5" w14:paraId="18B993FC" w14:textId="77777777" w:rsidTr="00DE2B83">
        <w:trPr>
          <w:trHeight w:val="529"/>
        </w:trPr>
        <w:tc>
          <w:tcPr>
            <w:tcW w:w="567" w:type="dxa"/>
            <w:vAlign w:val="center"/>
          </w:tcPr>
          <w:p w14:paraId="7EDA134E" w14:textId="6AABE8AC" w:rsidR="00665ACC" w:rsidRPr="008F6AB5" w:rsidRDefault="00665ACC" w:rsidP="0080328E">
            <w:pPr>
              <w:jc w:val="both"/>
            </w:pPr>
            <w:r w:rsidRPr="008F6AB5">
              <w:t>dne</w:t>
            </w:r>
          </w:p>
        </w:tc>
        <w:tc>
          <w:tcPr>
            <w:tcW w:w="3952" w:type="dxa"/>
            <w:vAlign w:val="center"/>
          </w:tcPr>
          <w:p w14:paraId="4E517203" w14:textId="28DD8860" w:rsidR="00665ACC" w:rsidRPr="008F6AB5" w:rsidRDefault="00665ACC" w:rsidP="0080328E">
            <w:pPr>
              <w:jc w:val="both"/>
            </w:pPr>
          </w:p>
        </w:tc>
        <w:tc>
          <w:tcPr>
            <w:tcW w:w="584" w:type="dxa"/>
            <w:vAlign w:val="center"/>
          </w:tcPr>
          <w:p w14:paraId="0B58FA69" w14:textId="3DE42CFB" w:rsidR="00665ACC" w:rsidRPr="008F6AB5" w:rsidRDefault="00665ACC" w:rsidP="0080328E">
            <w:pPr>
              <w:jc w:val="both"/>
            </w:pPr>
            <w:r w:rsidRPr="008F6AB5">
              <w:t>dne</w:t>
            </w:r>
          </w:p>
        </w:tc>
        <w:tc>
          <w:tcPr>
            <w:tcW w:w="3936" w:type="dxa"/>
            <w:vAlign w:val="center"/>
          </w:tcPr>
          <w:p w14:paraId="258FCD09" w14:textId="4B982F6B" w:rsidR="00665ACC" w:rsidRPr="008F6AB5" w:rsidRDefault="00665ACC" w:rsidP="0080328E">
            <w:pPr>
              <w:jc w:val="both"/>
            </w:pPr>
          </w:p>
        </w:tc>
      </w:tr>
      <w:tr w:rsidR="00665ACC" w:rsidRPr="008F6AB5" w14:paraId="54F26A13" w14:textId="77777777" w:rsidTr="00DE2B83">
        <w:tc>
          <w:tcPr>
            <w:tcW w:w="4519" w:type="dxa"/>
            <w:gridSpan w:val="2"/>
          </w:tcPr>
          <w:p w14:paraId="12A6CE5A" w14:textId="77777777" w:rsidR="00665ACC" w:rsidRPr="008F6AB5" w:rsidRDefault="00665ACC" w:rsidP="0080328E">
            <w:pPr>
              <w:jc w:val="both"/>
            </w:pPr>
          </w:p>
        </w:tc>
        <w:tc>
          <w:tcPr>
            <w:tcW w:w="4520" w:type="dxa"/>
            <w:gridSpan w:val="2"/>
          </w:tcPr>
          <w:p w14:paraId="24470E0A" w14:textId="77777777" w:rsidR="00665ACC" w:rsidRPr="008F6AB5" w:rsidRDefault="00665ACC" w:rsidP="0080328E">
            <w:pPr>
              <w:jc w:val="both"/>
            </w:pPr>
          </w:p>
        </w:tc>
      </w:tr>
      <w:tr w:rsidR="00665ACC" w:rsidRPr="008F6AB5" w14:paraId="511ECBBD" w14:textId="77777777" w:rsidTr="00DE2B83">
        <w:tc>
          <w:tcPr>
            <w:tcW w:w="4519" w:type="dxa"/>
            <w:gridSpan w:val="2"/>
          </w:tcPr>
          <w:p w14:paraId="30BE2F42" w14:textId="018E26EE" w:rsidR="00665ACC" w:rsidRPr="008F6AB5" w:rsidRDefault="008F6AB5" w:rsidP="0080328E">
            <w:pPr>
              <w:jc w:val="both"/>
            </w:pPr>
            <w:r w:rsidRPr="008F6AB5">
              <w:t xml:space="preserve">Za </w:t>
            </w:r>
            <w:r w:rsidRPr="008F6AB5">
              <w:rPr>
                <w:b/>
                <w:bCs/>
              </w:rPr>
              <w:t>Pražská vodohospodářská společnost a.s.</w:t>
            </w:r>
            <w:r>
              <w:t>:</w:t>
            </w:r>
          </w:p>
          <w:p w14:paraId="0B27B432" w14:textId="77777777" w:rsidR="00665ACC" w:rsidRPr="008F6AB5" w:rsidRDefault="00665ACC" w:rsidP="0080328E">
            <w:pPr>
              <w:jc w:val="both"/>
            </w:pPr>
          </w:p>
        </w:tc>
        <w:tc>
          <w:tcPr>
            <w:tcW w:w="4520" w:type="dxa"/>
            <w:gridSpan w:val="2"/>
          </w:tcPr>
          <w:p w14:paraId="7A3EF741" w14:textId="77777777" w:rsidR="00665ACC" w:rsidRDefault="008F6AB5" w:rsidP="0080328E">
            <w:pPr>
              <w:jc w:val="both"/>
            </w:pPr>
            <w:r>
              <w:t xml:space="preserve">Za </w:t>
            </w:r>
            <w:r w:rsidR="00AF28B0">
              <w:rPr>
                <w:b/>
                <w:bCs/>
              </w:rPr>
              <w:t>PORTOS, advokátní kancelář s.r.o.</w:t>
            </w:r>
            <w:r>
              <w:t xml:space="preserve">: </w:t>
            </w:r>
          </w:p>
          <w:p w14:paraId="1489AD31" w14:textId="77777777" w:rsidR="003C43E6" w:rsidRDefault="003C43E6" w:rsidP="0080328E">
            <w:pPr>
              <w:jc w:val="both"/>
            </w:pPr>
          </w:p>
          <w:p w14:paraId="439F6048" w14:textId="77777777" w:rsidR="003C43E6" w:rsidRDefault="003C43E6" w:rsidP="0080328E">
            <w:pPr>
              <w:jc w:val="both"/>
            </w:pPr>
          </w:p>
          <w:p w14:paraId="591172D9" w14:textId="77777777" w:rsidR="003C43E6" w:rsidRDefault="003C43E6" w:rsidP="0080328E">
            <w:pPr>
              <w:jc w:val="both"/>
            </w:pPr>
          </w:p>
          <w:p w14:paraId="13E8465E" w14:textId="77777777" w:rsidR="003C43E6" w:rsidRDefault="003C43E6" w:rsidP="0080328E">
            <w:pPr>
              <w:jc w:val="both"/>
            </w:pPr>
          </w:p>
          <w:p w14:paraId="0D38A501" w14:textId="52A518D7" w:rsidR="003C43E6" w:rsidRPr="008F6AB5" w:rsidRDefault="003C43E6" w:rsidP="0080328E">
            <w:pPr>
              <w:jc w:val="both"/>
            </w:pPr>
          </w:p>
        </w:tc>
      </w:tr>
      <w:tr w:rsidR="00665ACC" w:rsidRPr="0070791A" w14:paraId="646CBD1C" w14:textId="77777777" w:rsidTr="00DE2B83">
        <w:tc>
          <w:tcPr>
            <w:tcW w:w="4519" w:type="dxa"/>
            <w:gridSpan w:val="2"/>
          </w:tcPr>
          <w:p w14:paraId="7C3736DD" w14:textId="680C140E" w:rsidR="00665ACC" w:rsidRPr="008F6AB5" w:rsidRDefault="00A2132B" w:rsidP="0080328E">
            <w:pPr>
              <w:jc w:val="both"/>
            </w:pPr>
            <w:r>
              <w:t>Ing. Pavel Válek, MBA</w:t>
            </w:r>
            <w:r w:rsidR="0041169C">
              <w:t>,</w:t>
            </w:r>
            <w:r>
              <w:t xml:space="preserve"> předseda představenstva </w:t>
            </w:r>
          </w:p>
        </w:tc>
        <w:tc>
          <w:tcPr>
            <w:tcW w:w="4520" w:type="dxa"/>
            <w:gridSpan w:val="2"/>
          </w:tcPr>
          <w:p w14:paraId="5FABF568" w14:textId="77777777" w:rsidR="00665ACC" w:rsidRDefault="00AF28B0" w:rsidP="0080328E">
            <w:pPr>
              <w:jc w:val="both"/>
            </w:pPr>
            <w:r>
              <w:t>JUDr. Jaromír Císař, Ph.D., jednatel</w:t>
            </w:r>
          </w:p>
          <w:p w14:paraId="0C4159A2" w14:textId="77777777" w:rsidR="003C43E6" w:rsidRDefault="003C43E6" w:rsidP="0080328E">
            <w:pPr>
              <w:jc w:val="both"/>
              <w:rPr>
                <w:bCs/>
              </w:rPr>
            </w:pPr>
          </w:p>
          <w:p w14:paraId="390A024D" w14:textId="77777777" w:rsidR="003C43E6" w:rsidRDefault="003C43E6" w:rsidP="0080328E">
            <w:pPr>
              <w:jc w:val="both"/>
              <w:rPr>
                <w:bCs/>
              </w:rPr>
            </w:pPr>
          </w:p>
          <w:p w14:paraId="3B772D17" w14:textId="77777777" w:rsidR="003C43E6" w:rsidRDefault="003C43E6" w:rsidP="0080328E">
            <w:pPr>
              <w:jc w:val="both"/>
              <w:rPr>
                <w:bCs/>
              </w:rPr>
            </w:pPr>
          </w:p>
          <w:p w14:paraId="6D40A7A8" w14:textId="4E3E60F0" w:rsidR="003C43E6" w:rsidRPr="004B789A" w:rsidRDefault="003C43E6" w:rsidP="0080328E">
            <w:pPr>
              <w:jc w:val="both"/>
              <w:rPr>
                <w:bCs/>
              </w:rPr>
            </w:pPr>
          </w:p>
        </w:tc>
      </w:tr>
      <w:tr w:rsidR="00665ACC" w:rsidRPr="0070791A" w14:paraId="230D5543" w14:textId="77777777" w:rsidTr="00DE2B83">
        <w:tc>
          <w:tcPr>
            <w:tcW w:w="4519" w:type="dxa"/>
            <w:gridSpan w:val="2"/>
          </w:tcPr>
          <w:p w14:paraId="3A9FB65C" w14:textId="77777777" w:rsidR="00665ACC" w:rsidRPr="0070791A" w:rsidRDefault="00665ACC" w:rsidP="0080328E">
            <w:pPr>
              <w:jc w:val="both"/>
            </w:pPr>
          </w:p>
        </w:tc>
        <w:tc>
          <w:tcPr>
            <w:tcW w:w="4520" w:type="dxa"/>
            <w:gridSpan w:val="2"/>
          </w:tcPr>
          <w:p w14:paraId="1C23C370" w14:textId="77777777" w:rsidR="00665ACC" w:rsidRPr="0070791A" w:rsidRDefault="00665ACC" w:rsidP="0080328E">
            <w:pPr>
              <w:jc w:val="both"/>
            </w:pPr>
          </w:p>
        </w:tc>
      </w:tr>
      <w:tr w:rsidR="008F6AB5" w:rsidRPr="0070791A" w14:paraId="31602A27" w14:textId="77777777" w:rsidTr="00DE2B83">
        <w:tc>
          <w:tcPr>
            <w:tcW w:w="4519" w:type="dxa"/>
            <w:gridSpan w:val="2"/>
          </w:tcPr>
          <w:p w14:paraId="6069F411" w14:textId="326A5173" w:rsidR="008F6AB5" w:rsidRPr="0070791A" w:rsidRDefault="00A2132B" w:rsidP="008F6AB5">
            <w:pPr>
              <w:jc w:val="both"/>
            </w:pPr>
            <w:r>
              <w:t>Ing. Petr Bureš</w:t>
            </w:r>
            <w:r w:rsidR="0041169C">
              <w:t>,</w:t>
            </w:r>
            <w:r>
              <w:t xml:space="preserve"> člen představenstva</w:t>
            </w:r>
          </w:p>
        </w:tc>
        <w:tc>
          <w:tcPr>
            <w:tcW w:w="4520" w:type="dxa"/>
            <w:gridSpan w:val="2"/>
          </w:tcPr>
          <w:p w14:paraId="5BC50BBD" w14:textId="50E03D2B" w:rsidR="008F6AB5" w:rsidRPr="0070791A" w:rsidRDefault="008F6AB5" w:rsidP="008F6AB5">
            <w:pPr>
              <w:jc w:val="both"/>
            </w:pPr>
          </w:p>
        </w:tc>
      </w:tr>
    </w:tbl>
    <w:p w14:paraId="5DB2610C" w14:textId="639A1326" w:rsidR="00DF0E78" w:rsidRDefault="00DF0E78" w:rsidP="000F42F6"/>
    <w:sectPr w:rsidR="00DF0E78" w:rsidSect="00835380">
      <w:footerReference w:type="defaul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D3B11" w14:textId="77777777" w:rsidR="00135396" w:rsidRDefault="00135396" w:rsidP="00392A4D">
      <w:pPr>
        <w:spacing w:after="0" w:line="240" w:lineRule="auto"/>
      </w:pPr>
      <w:r>
        <w:separator/>
      </w:r>
    </w:p>
  </w:endnote>
  <w:endnote w:type="continuationSeparator" w:id="0">
    <w:p w14:paraId="33C9628F" w14:textId="77777777" w:rsidR="00135396" w:rsidRDefault="00135396" w:rsidP="00392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6641894"/>
      <w:docPartObj>
        <w:docPartGallery w:val="Page Numbers (Bottom of Page)"/>
        <w:docPartUnique/>
      </w:docPartObj>
    </w:sdtPr>
    <w:sdtEndPr/>
    <w:sdtContent>
      <w:sdt>
        <w:sdtPr>
          <w:id w:val="1728636285"/>
          <w:docPartObj>
            <w:docPartGallery w:val="Page Numbers (Top of Page)"/>
            <w:docPartUnique/>
          </w:docPartObj>
        </w:sdtPr>
        <w:sdtEndPr/>
        <w:sdtContent>
          <w:p w14:paraId="21674759" w14:textId="6D3F2F6E" w:rsidR="0033569E" w:rsidRDefault="0033569E">
            <w:pPr>
              <w:pStyle w:val="Zpat"/>
              <w:jc w:val="center"/>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BA2F3F" w14:textId="0978ED5E" w:rsidR="0033569E" w:rsidRDefault="001B7D27" w:rsidP="001B7D27">
    <w:pPr>
      <w:pStyle w:val="Zpat"/>
      <w:tabs>
        <w:tab w:val="clear" w:pos="4536"/>
        <w:tab w:val="clear" w:pos="9072"/>
        <w:tab w:val="left" w:pos="613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350243"/>
      <w:docPartObj>
        <w:docPartGallery w:val="Page Numbers (Bottom of Page)"/>
        <w:docPartUnique/>
      </w:docPartObj>
    </w:sdtPr>
    <w:sdtEndPr/>
    <w:sdtContent>
      <w:sdt>
        <w:sdtPr>
          <w:id w:val="1857464609"/>
          <w:docPartObj>
            <w:docPartGallery w:val="Page Numbers (Top of Page)"/>
            <w:docPartUnique/>
          </w:docPartObj>
        </w:sdtPr>
        <w:sdtEndPr/>
        <w:sdtContent>
          <w:p w14:paraId="607629F0" w14:textId="53034E57" w:rsidR="0033569E" w:rsidRDefault="0033569E">
            <w:pPr>
              <w:pStyle w:val="Zpat"/>
              <w:jc w:val="center"/>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D242DB" w14:textId="77777777" w:rsidR="0033569E" w:rsidRDefault="003356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B2258" w14:textId="77777777" w:rsidR="00135396" w:rsidRDefault="00135396" w:rsidP="00392A4D">
      <w:pPr>
        <w:spacing w:after="0" w:line="240" w:lineRule="auto"/>
      </w:pPr>
      <w:r>
        <w:separator/>
      </w:r>
    </w:p>
  </w:footnote>
  <w:footnote w:type="continuationSeparator" w:id="0">
    <w:p w14:paraId="6BBA9812" w14:textId="77777777" w:rsidR="00135396" w:rsidRDefault="00135396" w:rsidP="00392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F002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3CF18A"/>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EFAAEE30"/>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FDEEE30"/>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767287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F0C8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94C4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F2FC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88BAB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30C9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A26FF"/>
    <w:multiLevelType w:val="hybridMultilevel"/>
    <w:tmpl w:val="72AC9D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D20F97"/>
    <w:multiLevelType w:val="hybridMultilevel"/>
    <w:tmpl w:val="AEC07D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0A1EA6"/>
    <w:multiLevelType w:val="multilevel"/>
    <w:tmpl w:val="5022A436"/>
    <w:lvl w:ilvl="0">
      <w:start w:val="1"/>
      <w:numFmt w:val="decimalZero"/>
      <w:lvlText w:val="%1"/>
      <w:lvlJc w:val="left"/>
      <w:pPr>
        <w:ind w:left="0" w:firstLine="0"/>
      </w:pPr>
      <w:rPr>
        <w:rFonts w:hint="default"/>
      </w:rPr>
    </w:lvl>
    <w:lvl w:ilvl="1">
      <w:start w:val="1"/>
      <w:numFmt w:val="decimal"/>
      <w:lvlText w:val="%1.%2"/>
      <w:lvlJc w:val="left"/>
      <w:pPr>
        <w:ind w:left="567" w:hanging="567"/>
      </w:pPr>
      <w:rPr>
        <w:rFonts w:hint="default"/>
      </w:rPr>
    </w:lvl>
    <w:lvl w:ilvl="2">
      <w:start w:val="2"/>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decimal"/>
      <w:lvlText w:val="%5)"/>
      <w:lvlJc w:val="left"/>
      <w:pPr>
        <w:ind w:left="1701"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13" w15:restartNumberingAfterBreak="0">
    <w:nsid w:val="1645100A"/>
    <w:multiLevelType w:val="hybridMultilevel"/>
    <w:tmpl w:val="FDE842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7F71C2"/>
    <w:multiLevelType w:val="hybridMultilevel"/>
    <w:tmpl w:val="3ABC9566"/>
    <w:lvl w:ilvl="0" w:tplc="C0EE16F4">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008D18">
      <w:start w:val="1"/>
      <w:numFmt w:val="lowerLetter"/>
      <w:lvlText w:val="%2)"/>
      <w:lvlJc w:val="left"/>
      <w:pPr>
        <w:ind w:left="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E5619FA">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0E5BB8">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7C15A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EC6408">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FCF794">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26DD0C">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B28032">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A741C96"/>
    <w:multiLevelType w:val="hybridMultilevel"/>
    <w:tmpl w:val="AD484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F11012"/>
    <w:multiLevelType w:val="hybridMultilevel"/>
    <w:tmpl w:val="5C08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3B1E69"/>
    <w:multiLevelType w:val="hybridMultilevel"/>
    <w:tmpl w:val="C41CDBF8"/>
    <w:lvl w:ilvl="0" w:tplc="DF008D18">
      <w:start w:val="1"/>
      <w:numFmt w:val="lowerLetter"/>
      <w:lvlText w:val="%1)"/>
      <w:lvlJc w:val="left"/>
      <w:pPr>
        <w:ind w:left="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254C0B"/>
    <w:multiLevelType w:val="multilevel"/>
    <w:tmpl w:val="24A41B58"/>
    <w:lvl w:ilvl="0">
      <w:start w:val="1"/>
      <w:numFmt w:val="decimalZero"/>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bullet"/>
      <w:lvlText w:val=""/>
      <w:lvlJc w:val="left"/>
      <w:pPr>
        <w:ind w:left="1134" w:hanging="567"/>
      </w:pPr>
      <w:rPr>
        <w:rFonts w:ascii="Symbol" w:hAnsi="Symbol" w:hint="default"/>
      </w:rPr>
    </w:lvl>
    <w:lvl w:ilvl="3">
      <w:start w:val="1"/>
      <w:numFmt w:val="lowerRoman"/>
      <w:lvlText w:val="%4"/>
      <w:lvlJc w:val="left"/>
      <w:pPr>
        <w:ind w:left="1701" w:hanging="567"/>
      </w:pPr>
      <w:rPr>
        <w:rFonts w:hint="default"/>
      </w:rPr>
    </w:lvl>
    <w:lvl w:ilvl="4">
      <w:start w:val="1"/>
      <w:numFmt w:val="decimal"/>
      <w:lvlText w:val="%5)"/>
      <w:lvlJc w:val="left"/>
      <w:pPr>
        <w:ind w:left="1701"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19" w15:restartNumberingAfterBreak="0">
    <w:nsid w:val="2C9D5172"/>
    <w:multiLevelType w:val="hybridMultilevel"/>
    <w:tmpl w:val="4B26584C"/>
    <w:lvl w:ilvl="0" w:tplc="CAE4291E">
      <w:start w:val="1"/>
      <w:numFmt w:val="decimalZero"/>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725B20"/>
    <w:multiLevelType w:val="hybridMultilevel"/>
    <w:tmpl w:val="2FB81E6A"/>
    <w:lvl w:ilvl="0" w:tplc="575CCFFA">
      <w:start w:val="1"/>
      <w:numFmt w:val="bullet"/>
      <w:lvlText w:val="-"/>
      <w:lvlJc w:val="left"/>
      <w:pPr>
        <w:ind w:left="1287" w:hanging="360"/>
      </w:pPr>
      <w:rPr>
        <w:rFonts w:ascii="Cambria" w:hAnsi="Cambri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02041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007CF8"/>
    <w:multiLevelType w:val="hybridMultilevel"/>
    <w:tmpl w:val="CE1805A4"/>
    <w:lvl w:ilvl="0" w:tplc="79B48A62">
      <w:start w:val="1"/>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B2381B"/>
    <w:multiLevelType w:val="multilevel"/>
    <w:tmpl w:val="0CA450D6"/>
    <w:lvl w:ilvl="0">
      <w:start w:val="1"/>
      <w:numFmt w:val="decimalZero"/>
      <w:lvlText w:val="%1"/>
      <w:lvlJc w:val="left"/>
      <w:pPr>
        <w:ind w:left="0" w:firstLine="0"/>
      </w:pPr>
      <w:rPr>
        <w:rFonts w:hint="default"/>
      </w:rPr>
    </w:lvl>
    <w:lvl w:ilvl="1">
      <w:start w:val="1"/>
      <w:numFmt w:val="decimal"/>
      <w:lvlText w:val="%1.%2"/>
      <w:lvlJc w:val="left"/>
      <w:pPr>
        <w:ind w:left="567" w:hanging="567"/>
      </w:pPr>
      <w:rPr>
        <w:rFonts w:hint="default"/>
      </w:rPr>
    </w:lvl>
    <w:lvl w:ilvl="2">
      <w:start w:val="2"/>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decimal"/>
      <w:lvlText w:val="%5)"/>
      <w:lvlJc w:val="left"/>
      <w:pPr>
        <w:ind w:left="1701"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24" w15:restartNumberingAfterBreak="0">
    <w:nsid w:val="4B9B4A3A"/>
    <w:multiLevelType w:val="hybridMultilevel"/>
    <w:tmpl w:val="E5F8DBEE"/>
    <w:lvl w:ilvl="0" w:tplc="C664668A">
      <w:start w:val="1"/>
      <w:numFmt w:val="decimal"/>
      <w:lvlText w:val="%1."/>
      <w:lvlJc w:val="left"/>
      <w:pPr>
        <w:ind w:left="360" w:hanging="360"/>
      </w:pPr>
      <w:rPr>
        <w:rFonts w:hint="default"/>
        <w:b w:val="0"/>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66C23AE"/>
    <w:multiLevelType w:val="multilevel"/>
    <w:tmpl w:val="9334A42C"/>
    <w:lvl w:ilvl="0">
      <w:start w:val="1"/>
      <w:numFmt w:val="decimalZero"/>
      <w:pStyle w:val="Nadpis1"/>
      <w:lvlText w:val="%1"/>
      <w:lvlJc w:val="left"/>
      <w:pPr>
        <w:ind w:left="0" w:firstLine="0"/>
      </w:pPr>
      <w:rPr>
        <w:rFonts w:hint="default"/>
      </w:rPr>
    </w:lvl>
    <w:lvl w:ilvl="1">
      <w:start w:val="1"/>
      <w:numFmt w:val="decimal"/>
      <w:pStyle w:val="Nadpis2"/>
      <w:lvlText w:val="%1.%2"/>
      <w:lvlJc w:val="left"/>
      <w:pPr>
        <w:ind w:left="567" w:hanging="567"/>
      </w:pPr>
      <w:rPr>
        <w:rFonts w:hint="default"/>
      </w:rPr>
    </w:lvl>
    <w:lvl w:ilvl="2">
      <w:start w:val="1"/>
      <w:numFmt w:val="lowerLetter"/>
      <w:pStyle w:val="Nadpis3"/>
      <w:lvlText w:val="%3)"/>
      <w:lvlJc w:val="left"/>
      <w:pPr>
        <w:ind w:left="1134" w:hanging="567"/>
      </w:pPr>
      <w:rPr>
        <w:rFonts w:hint="default"/>
      </w:rPr>
    </w:lvl>
    <w:lvl w:ilvl="3">
      <w:start w:val="1"/>
      <w:numFmt w:val="decimal"/>
      <w:pStyle w:val="Nadpis4"/>
      <w:lvlText w:val="%4)"/>
      <w:lvlJc w:val="left"/>
      <w:pPr>
        <w:ind w:left="1701" w:hanging="567"/>
      </w:pPr>
      <w:rPr>
        <w:rFonts w:hint="default"/>
      </w:rPr>
    </w:lvl>
    <w:lvl w:ilvl="4">
      <w:start w:val="1"/>
      <w:numFmt w:val="lowerRoman"/>
      <w:pStyle w:val="Nadpis5"/>
      <w:lvlText w:val="%5)"/>
      <w:lvlJc w:val="left"/>
      <w:pPr>
        <w:ind w:left="1701" w:hanging="567"/>
      </w:pPr>
      <w:rPr>
        <w:rFonts w:hint="default"/>
      </w:rPr>
    </w:lvl>
    <w:lvl w:ilvl="5">
      <w:start w:val="1"/>
      <w:numFmt w:val="none"/>
      <w:pStyle w:val="Nadpis6"/>
      <w:lvlText w:val="-"/>
      <w:lvlJc w:val="left"/>
      <w:pPr>
        <w:ind w:left="1701" w:hanging="567"/>
      </w:pPr>
      <w:rPr>
        <w:rFonts w:hint="default"/>
      </w:rPr>
    </w:lvl>
    <w:lvl w:ilvl="6">
      <w:start w:val="1"/>
      <w:numFmt w:val="decimal"/>
      <w:pStyle w:val="Nadpis7"/>
      <w:lvlText w:val="%1.%2.%3.%4.%5.%6.%7"/>
      <w:lvlJc w:val="left"/>
      <w:pPr>
        <w:ind w:left="3402" w:hanging="567"/>
      </w:pPr>
      <w:rPr>
        <w:rFonts w:hint="default"/>
      </w:rPr>
    </w:lvl>
    <w:lvl w:ilvl="7">
      <w:start w:val="1"/>
      <w:numFmt w:val="decimal"/>
      <w:pStyle w:val="Nadpis8"/>
      <w:lvlText w:val="%1.%2.%3.%4.%5.%6.%7.%8"/>
      <w:lvlJc w:val="left"/>
      <w:pPr>
        <w:ind w:left="3969" w:hanging="567"/>
      </w:pPr>
      <w:rPr>
        <w:rFonts w:hint="default"/>
      </w:rPr>
    </w:lvl>
    <w:lvl w:ilvl="8">
      <w:start w:val="1"/>
      <w:numFmt w:val="decimal"/>
      <w:pStyle w:val="Nadpis9"/>
      <w:lvlText w:val="%1.%2.%3.%4.%5.%6.%7.%8.%9"/>
      <w:lvlJc w:val="left"/>
      <w:pPr>
        <w:ind w:left="4536" w:hanging="567"/>
      </w:pPr>
      <w:rPr>
        <w:rFonts w:hint="default"/>
      </w:rPr>
    </w:lvl>
  </w:abstractNum>
  <w:abstractNum w:abstractNumId="26" w15:restartNumberingAfterBreak="0">
    <w:nsid w:val="5AB22469"/>
    <w:multiLevelType w:val="hybridMultilevel"/>
    <w:tmpl w:val="C818B696"/>
    <w:lvl w:ilvl="0" w:tplc="A298157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410886"/>
    <w:multiLevelType w:val="hybridMultilevel"/>
    <w:tmpl w:val="684488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DA794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E4D1CDF"/>
    <w:multiLevelType w:val="hybridMultilevel"/>
    <w:tmpl w:val="76143C42"/>
    <w:lvl w:ilvl="0" w:tplc="575CCFFA">
      <w:start w:val="1"/>
      <w:numFmt w:val="bullet"/>
      <w:lvlText w:val="-"/>
      <w:lvlJc w:val="left"/>
      <w:pPr>
        <w:ind w:left="1079" w:hanging="360"/>
      </w:pPr>
      <w:rPr>
        <w:rFonts w:ascii="Cambria" w:hAnsi="Cambria"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num w:numId="1" w16cid:durableId="1453940524">
    <w:abstractNumId w:val="9"/>
  </w:num>
  <w:num w:numId="2" w16cid:durableId="140270500">
    <w:abstractNumId w:val="7"/>
  </w:num>
  <w:num w:numId="3" w16cid:durableId="1272129477">
    <w:abstractNumId w:val="6"/>
  </w:num>
  <w:num w:numId="4" w16cid:durableId="704644979">
    <w:abstractNumId w:val="5"/>
  </w:num>
  <w:num w:numId="5" w16cid:durableId="135802173">
    <w:abstractNumId w:val="4"/>
  </w:num>
  <w:num w:numId="6" w16cid:durableId="1502236708">
    <w:abstractNumId w:val="8"/>
  </w:num>
  <w:num w:numId="7" w16cid:durableId="1990093849">
    <w:abstractNumId w:val="3"/>
  </w:num>
  <w:num w:numId="8" w16cid:durableId="1066806540">
    <w:abstractNumId w:val="2"/>
  </w:num>
  <w:num w:numId="9" w16cid:durableId="92943872">
    <w:abstractNumId w:val="1"/>
  </w:num>
  <w:num w:numId="10" w16cid:durableId="933051489">
    <w:abstractNumId w:val="0"/>
  </w:num>
  <w:num w:numId="11" w16cid:durableId="1323201303">
    <w:abstractNumId w:val="19"/>
  </w:num>
  <w:num w:numId="12" w16cid:durableId="1276596773">
    <w:abstractNumId w:val="28"/>
  </w:num>
  <w:num w:numId="13" w16cid:durableId="1693608485">
    <w:abstractNumId w:val="13"/>
  </w:num>
  <w:num w:numId="14" w16cid:durableId="401686081">
    <w:abstractNumId w:val="11"/>
  </w:num>
  <w:num w:numId="15" w16cid:durableId="1559628561">
    <w:abstractNumId w:val="27"/>
  </w:num>
  <w:num w:numId="16" w16cid:durableId="335884937">
    <w:abstractNumId w:val="10"/>
  </w:num>
  <w:num w:numId="17" w16cid:durableId="1222329211">
    <w:abstractNumId w:val="22"/>
  </w:num>
  <w:num w:numId="18" w16cid:durableId="1417551410">
    <w:abstractNumId w:val="26"/>
  </w:num>
  <w:num w:numId="19" w16cid:durableId="587691564">
    <w:abstractNumId w:val="26"/>
    <w:lvlOverride w:ilvl="0">
      <w:startOverride w:val="1"/>
    </w:lvlOverride>
  </w:num>
  <w:num w:numId="20" w16cid:durableId="332299367">
    <w:abstractNumId w:val="22"/>
    <w:lvlOverride w:ilvl="0">
      <w:startOverride w:val="1"/>
    </w:lvlOverride>
  </w:num>
  <w:num w:numId="21" w16cid:durableId="930510397">
    <w:abstractNumId w:val="22"/>
    <w:lvlOverride w:ilvl="0">
      <w:startOverride w:val="1"/>
    </w:lvlOverride>
  </w:num>
  <w:num w:numId="22" w16cid:durableId="1617903610">
    <w:abstractNumId w:val="22"/>
    <w:lvlOverride w:ilvl="0">
      <w:startOverride w:val="1"/>
    </w:lvlOverride>
  </w:num>
  <w:num w:numId="23" w16cid:durableId="1876305015">
    <w:abstractNumId w:val="22"/>
    <w:lvlOverride w:ilvl="0">
      <w:startOverride w:val="1"/>
    </w:lvlOverride>
  </w:num>
  <w:num w:numId="24" w16cid:durableId="1740471938">
    <w:abstractNumId w:val="22"/>
    <w:lvlOverride w:ilvl="0">
      <w:startOverride w:val="1"/>
    </w:lvlOverride>
  </w:num>
  <w:num w:numId="25" w16cid:durableId="1656840901">
    <w:abstractNumId w:val="22"/>
    <w:lvlOverride w:ilvl="0">
      <w:startOverride w:val="1"/>
    </w:lvlOverride>
  </w:num>
  <w:num w:numId="26" w16cid:durableId="1028485895">
    <w:abstractNumId w:val="23"/>
  </w:num>
  <w:num w:numId="27" w16cid:durableId="1014651496">
    <w:abstractNumId w:val="15"/>
  </w:num>
  <w:num w:numId="28" w16cid:durableId="1390301886">
    <w:abstractNumId w:val="16"/>
  </w:num>
  <w:num w:numId="29" w16cid:durableId="1218930674">
    <w:abstractNumId w:val="29"/>
  </w:num>
  <w:num w:numId="30" w16cid:durableId="55011994">
    <w:abstractNumId w:val="23"/>
  </w:num>
  <w:num w:numId="31" w16cid:durableId="1805852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0911311">
    <w:abstractNumId w:val="12"/>
  </w:num>
  <w:num w:numId="33" w16cid:durableId="1022707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98727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3853573">
    <w:abstractNumId w:val="18"/>
  </w:num>
  <w:num w:numId="36" w16cid:durableId="2013987438">
    <w:abstractNumId w:val="20"/>
  </w:num>
  <w:num w:numId="37" w16cid:durableId="94445739">
    <w:abstractNumId w:val="25"/>
  </w:num>
  <w:num w:numId="38" w16cid:durableId="1522090984">
    <w:abstractNumId w:val="25"/>
  </w:num>
  <w:num w:numId="39" w16cid:durableId="1022131408">
    <w:abstractNumId w:val="24"/>
  </w:num>
  <w:num w:numId="40" w16cid:durableId="1058090904">
    <w:abstractNumId w:val="25"/>
  </w:num>
  <w:num w:numId="41" w16cid:durableId="1935507002">
    <w:abstractNumId w:val="21"/>
  </w:num>
  <w:num w:numId="42" w16cid:durableId="505829893">
    <w:abstractNumId w:val="25"/>
  </w:num>
  <w:num w:numId="43" w16cid:durableId="1103457124">
    <w:abstractNumId w:val="14"/>
  </w:num>
  <w:num w:numId="44" w16cid:durableId="6677550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F0"/>
    <w:rsid w:val="00001806"/>
    <w:rsid w:val="0003233D"/>
    <w:rsid w:val="000433CF"/>
    <w:rsid w:val="000572B6"/>
    <w:rsid w:val="00095B46"/>
    <w:rsid w:val="000A5BEC"/>
    <w:rsid w:val="000C0478"/>
    <w:rsid w:val="000E0DD3"/>
    <w:rsid w:val="000E2F7B"/>
    <w:rsid w:val="000F42F6"/>
    <w:rsid w:val="00110070"/>
    <w:rsid w:val="00124D9F"/>
    <w:rsid w:val="00135396"/>
    <w:rsid w:val="00140DB7"/>
    <w:rsid w:val="00180898"/>
    <w:rsid w:val="00194C22"/>
    <w:rsid w:val="001B7D27"/>
    <w:rsid w:val="001C2808"/>
    <w:rsid w:val="001C6AA4"/>
    <w:rsid w:val="001F4EB4"/>
    <w:rsid w:val="0021572D"/>
    <w:rsid w:val="002433E1"/>
    <w:rsid w:val="0026383B"/>
    <w:rsid w:val="002716B0"/>
    <w:rsid w:val="0027523A"/>
    <w:rsid w:val="002A14AE"/>
    <w:rsid w:val="002C3FA6"/>
    <w:rsid w:val="002D1AB5"/>
    <w:rsid w:val="002E7D4D"/>
    <w:rsid w:val="00316DC7"/>
    <w:rsid w:val="00327F1D"/>
    <w:rsid w:val="00334FD8"/>
    <w:rsid w:val="0033569E"/>
    <w:rsid w:val="00357891"/>
    <w:rsid w:val="003631C3"/>
    <w:rsid w:val="00371349"/>
    <w:rsid w:val="003714C4"/>
    <w:rsid w:val="00383ACE"/>
    <w:rsid w:val="00392A4D"/>
    <w:rsid w:val="003B1BD7"/>
    <w:rsid w:val="003B38CF"/>
    <w:rsid w:val="003B4649"/>
    <w:rsid w:val="003B632C"/>
    <w:rsid w:val="003C1B08"/>
    <w:rsid w:val="003C43E6"/>
    <w:rsid w:val="003D51D6"/>
    <w:rsid w:val="003E58F6"/>
    <w:rsid w:val="004018FC"/>
    <w:rsid w:val="0041169C"/>
    <w:rsid w:val="00436B76"/>
    <w:rsid w:val="00440F33"/>
    <w:rsid w:val="00451B7F"/>
    <w:rsid w:val="004827C7"/>
    <w:rsid w:val="00493E3E"/>
    <w:rsid w:val="004970CA"/>
    <w:rsid w:val="004A5FDB"/>
    <w:rsid w:val="004B789A"/>
    <w:rsid w:val="004C2957"/>
    <w:rsid w:val="004E05C8"/>
    <w:rsid w:val="004F7B7D"/>
    <w:rsid w:val="00510EFD"/>
    <w:rsid w:val="00521072"/>
    <w:rsid w:val="00524987"/>
    <w:rsid w:val="0052500A"/>
    <w:rsid w:val="00536807"/>
    <w:rsid w:val="00537CBB"/>
    <w:rsid w:val="00545EC0"/>
    <w:rsid w:val="00556E18"/>
    <w:rsid w:val="00585CEC"/>
    <w:rsid w:val="005974B1"/>
    <w:rsid w:val="005F6A91"/>
    <w:rsid w:val="00633601"/>
    <w:rsid w:val="006508B9"/>
    <w:rsid w:val="00665ACC"/>
    <w:rsid w:val="006674ED"/>
    <w:rsid w:val="00685DE6"/>
    <w:rsid w:val="006937D4"/>
    <w:rsid w:val="006C0C1F"/>
    <w:rsid w:val="006D6189"/>
    <w:rsid w:val="006F2775"/>
    <w:rsid w:val="006F3609"/>
    <w:rsid w:val="00730A08"/>
    <w:rsid w:val="007332CF"/>
    <w:rsid w:val="00736DD4"/>
    <w:rsid w:val="0073756C"/>
    <w:rsid w:val="00737817"/>
    <w:rsid w:val="007703B1"/>
    <w:rsid w:val="00773B22"/>
    <w:rsid w:val="0079478A"/>
    <w:rsid w:val="007B5FD0"/>
    <w:rsid w:val="008029D4"/>
    <w:rsid w:val="0080328E"/>
    <w:rsid w:val="00805CB9"/>
    <w:rsid w:val="00823FF0"/>
    <w:rsid w:val="00826226"/>
    <w:rsid w:val="00835380"/>
    <w:rsid w:val="008575AE"/>
    <w:rsid w:val="00867B75"/>
    <w:rsid w:val="00886CBE"/>
    <w:rsid w:val="008B1581"/>
    <w:rsid w:val="008B43FF"/>
    <w:rsid w:val="008E7A64"/>
    <w:rsid w:val="008F6AB5"/>
    <w:rsid w:val="009113E4"/>
    <w:rsid w:val="009455F8"/>
    <w:rsid w:val="009552F8"/>
    <w:rsid w:val="009704D2"/>
    <w:rsid w:val="009D3884"/>
    <w:rsid w:val="009F037A"/>
    <w:rsid w:val="009F1431"/>
    <w:rsid w:val="00A2132B"/>
    <w:rsid w:val="00A31F3E"/>
    <w:rsid w:val="00A45820"/>
    <w:rsid w:val="00A9751E"/>
    <w:rsid w:val="00AC2909"/>
    <w:rsid w:val="00AF28B0"/>
    <w:rsid w:val="00B00CA5"/>
    <w:rsid w:val="00B1397F"/>
    <w:rsid w:val="00B16CB7"/>
    <w:rsid w:val="00B211C6"/>
    <w:rsid w:val="00B422B2"/>
    <w:rsid w:val="00B952C3"/>
    <w:rsid w:val="00BA0672"/>
    <w:rsid w:val="00BC1719"/>
    <w:rsid w:val="00BE2C2E"/>
    <w:rsid w:val="00C116BC"/>
    <w:rsid w:val="00C3658F"/>
    <w:rsid w:val="00C45632"/>
    <w:rsid w:val="00C45BEA"/>
    <w:rsid w:val="00C766F5"/>
    <w:rsid w:val="00C849F9"/>
    <w:rsid w:val="00C901EE"/>
    <w:rsid w:val="00C91CA0"/>
    <w:rsid w:val="00CC7F37"/>
    <w:rsid w:val="00CD6CAB"/>
    <w:rsid w:val="00CF31C8"/>
    <w:rsid w:val="00D032DF"/>
    <w:rsid w:val="00D049A9"/>
    <w:rsid w:val="00D13DDF"/>
    <w:rsid w:val="00D30FD2"/>
    <w:rsid w:val="00D50881"/>
    <w:rsid w:val="00D67F6B"/>
    <w:rsid w:val="00DC0B53"/>
    <w:rsid w:val="00DC33B0"/>
    <w:rsid w:val="00DD342D"/>
    <w:rsid w:val="00DE2B83"/>
    <w:rsid w:val="00DF0E78"/>
    <w:rsid w:val="00E03C6D"/>
    <w:rsid w:val="00E25917"/>
    <w:rsid w:val="00E34977"/>
    <w:rsid w:val="00E91F14"/>
    <w:rsid w:val="00EA50AE"/>
    <w:rsid w:val="00EA6F44"/>
    <w:rsid w:val="00EA7BD6"/>
    <w:rsid w:val="00EB0DBC"/>
    <w:rsid w:val="00ED022A"/>
    <w:rsid w:val="00F245F8"/>
    <w:rsid w:val="00F4446E"/>
    <w:rsid w:val="00F62060"/>
    <w:rsid w:val="00F65E82"/>
    <w:rsid w:val="00F852DC"/>
    <w:rsid w:val="00FA6CE2"/>
    <w:rsid w:val="00FB699C"/>
    <w:rsid w:val="00FD01F9"/>
    <w:rsid w:val="00FE24B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F0CC"/>
  <w15:chartTrackingRefBased/>
  <w15:docId w15:val="{9FC29CDF-1532-449D-8206-7E8E27D4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F1D"/>
    <w:rPr>
      <w:rFonts w:ascii="Tahoma" w:hAnsi="Tahoma"/>
      <w:color w:val="000000" w:themeColor="text1"/>
      <w:sz w:val="19"/>
    </w:rPr>
  </w:style>
  <w:style w:type="paragraph" w:styleId="Nadpis1">
    <w:name w:val="heading 1"/>
    <w:basedOn w:val="Normln"/>
    <w:next w:val="Normln"/>
    <w:link w:val="Nadpis1Char"/>
    <w:autoRedefine/>
    <w:uiPriority w:val="9"/>
    <w:qFormat/>
    <w:rsid w:val="001B7D27"/>
    <w:pPr>
      <w:keepNext/>
      <w:keepLines/>
      <w:numPr>
        <w:numId w:val="37"/>
      </w:numPr>
      <w:spacing w:before="240" w:after="240" w:line="240" w:lineRule="auto"/>
      <w:jc w:val="center"/>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0E2F7B"/>
    <w:pPr>
      <w:keepNext/>
      <w:keepLines/>
      <w:numPr>
        <w:ilvl w:val="1"/>
        <w:numId w:val="37"/>
      </w:numPr>
      <w:spacing w:before="80" w:after="80"/>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0E2F7B"/>
    <w:pPr>
      <w:keepNext/>
      <w:keepLines/>
      <w:numPr>
        <w:ilvl w:val="2"/>
        <w:numId w:val="37"/>
      </w:numPr>
      <w:spacing w:before="40" w:after="0"/>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4F7B7D"/>
    <w:pPr>
      <w:keepNext/>
      <w:keepLines/>
      <w:numPr>
        <w:ilvl w:val="3"/>
        <w:numId w:val="37"/>
      </w:numPr>
      <w:spacing w:before="40" w:after="0"/>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4F7B7D"/>
    <w:pPr>
      <w:keepNext/>
      <w:keepLines/>
      <w:numPr>
        <w:ilvl w:val="4"/>
        <w:numId w:val="37"/>
      </w:numPr>
      <w:spacing w:before="40" w:after="0"/>
      <w:outlineLvl w:val="4"/>
    </w:pPr>
    <w:rPr>
      <w:rFonts w:eastAsiaTheme="majorEastAsia" w:cstheme="majorBidi"/>
    </w:rPr>
  </w:style>
  <w:style w:type="paragraph" w:styleId="Nadpis6">
    <w:name w:val="heading 6"/>
    <w:basedOn w:val="Normln"/>
    <w:next w:val="Normln"/>
    <w:link w:val="Nadpis6Char"/>
    <w:uiPriority w:val="9"/>
    <w:unhideWhenUsed/>
    <w:qFormat/>
    <w:rsid w:val="006937D4"/>
    <w:pPr>
      <w:keepNext/>
      <w:keepLines/>
      <w:numPr>
        <w:ilvl w:val="5"/>
        <w:numId w:val="37"/>
      </w:numPr>
      <w:spacing w:before="40" w:after="0"/>
      <w:outlineLvl w:val="5"/>
    </w:pPr>
    <w:rPr>
      <w:rFonts w:eastAsiaTheme="majorEastAsia" w:cstheme="majorBidi"/>
    </w:rPr>
  </w:style>
  <w:style w:type="paragraph" w:styleId="Nadpis7">
    <w:name w:val="heading 7"/>
    <w:basedOn w:val="Normln"/>
    <w:next w:val="Normln"/>
    <w:link w:val="Nadpis7Char"/>
    <w:uiPriority w:val="9"/>
    <w:semiHidden/>
    <w:unhideWhenUsed/>
    <w:rsid w:val="007332CF"/>
    <w:pPr>
      <w:keepNext/>
      <w:keepLines/>
      <w:numPr>
        <w:ilvl w:val="6"/>
        <w:numId w:val="37"/>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332CF"/>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332CF"/>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7D27"/>
    <w:rPr>
      <w:rFonts w:ascii="Tahoma" w:eastAsiaTheme="majorEastAsia" w:hAnsi="Tahoma" w:cstheme="majorBidi"/>
      <w:b/>
      <w:color w:val="000000" w:themeColor="text1"/>
      <w:sz w:val="19"/>
      <w:szCs w:val="32"/>
    </w:rPr>
  </w:style>
  <w:style w:type="paragraph" w:styleId="Zhlav">
    <w:name w:val="header"/>
    <w:basedOn w:val="Normln"/>
    <w:link w:val="ZhlavChar"/>
    <w:uiPriority w:val="99"/>
    <w:unhideWhenUsed/>
    <w:rsid w:val="00392A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2A4D"/>
  </w:style>
  <w:style w:type="paragraph" w:styleId="Zpat">
    <w:name w:val="footer"/>
    <w:basedOn w:val="Normln"/>
    <w:link w:val="ZpatChar"/>
    <w:uiPriority w:val="99"/>
    <w:unhideWhenUsed/>
    <w:rsid w:val="00392A4D"/>
    <w:pPr>
      <w:tabs>
        <w:tab w:val="center" w:pos="4536"/>
        <w:tab w:val="right" w:pos="9072"/>
      </w:tabs>
      <w:spacing w:after="0" w:line="240" w:lineRule="auto"/>
    </w:pPr>
  </w:style>
  <w:style w:type="character" w:customStyle="1" w:styleId="ZpatChar">
    <w:name w:val="Zápatí Char"/>
    <w:basedOn w:val="Standardnpsmoodstavce"/>
    <w:link w:val="Zpat"/>
    <w:uiPriority w:val="99"/>
    <w:rsid w:val="00392A4D"/>
  </w:style>
  <w:style w:type="character" w:styleId="Odkazintenzivn">
    <w:name w:val="Intense Reference"/>
    <w:basedOn w:val="Standardnpsmoodstavce"/>
    <w:uiPriority w:val="32"/>
    <w:rsid w:val="00392A4D"/>
    <w:rPr>
      <w:b/>
      <w:bCs/>
      <w:smallCaps/>
      <w:color w:val="5B9BD5" w:themeColor="accent1"/>
      <w:spacing w:val="5"/>
    </w:rPr>
  </w:style>
  <w:style w:type="character" w:customStyle="1" w:styleId="Nadpis3Char">
    <w:name w:val="Nadpis 3 Char"/>
    <w:basedOn w:val="Standardnpsmoodstavce"/>
    <w:link w:val="Nadpis3"/>
    <w:uiPriority w:val="9"/>
    <w:rsid w:val="000E2F7B"/>
    <w:rPr>
      <w:rFonts w:ascii="Tahoma" w:eastAsiaTheme="majorEastAsia" w:hAnsi="Tahoma" w:cstheme="majorBidi"/>
      <w:color w:val="595959" w:themeColor="text1" w:themeTint="A6"/>
      <w:sz w:val="19"/>
      <w:szCs w:val="24"/>
    </w:rPr>
  </w:style>
  <w:style w:type="character" w:customStyle="1" w:styleId="Nadpis5Char">
    <w:name w:val="Nadpis 5 Char"/>
    <w:basedOn w:val="Standardnpsmoodstavce"/>
    <w:link w:val="Nadpis5"/>
    <w:uiPriority w:val="9"/>
    <w:semiHidden/>
    <w:rsid w:val="004F7B7D"/>
    <w:rPr>
      <w:rFonts w:ascii="Tahoma" w:eastAsiaTheme="majorEastAsia" w:hAnsi="Tahoma" w:cstheme="majorBidi"/>
      <w:color w:val="595959" w:themeColor="text1" w:themeTint="A6"/>
      <w:sz w:val="19"/>
    </w:rPr>
  </w:style>
  <w:style w:type="character" w:customStyle="1" w:styleId="Nadpis2Char">
    <w:name w:val="Nadpis 2 Char"/>
    <w:basedOn w:val="Standardnpsmoodstavce"/>
    <w:link w:val="Nadpis2"/>
    <w:uiPriority w:val="9"/>
    <w:rsid w:val="000E2F7B"/>
    <w:rPr>
      <w:rFonts w:ascii="Tahoma" w:eastAsiaTheme="majorEastAsia" w:hAnsi="Tahoma" w:cstheme="majorBidi"/>
      <w:color w:val="595959" w:themeColor="text1" w:themeTint="A6"/>
      <w:sz w:val="19"/>
      <w:szCs w:val="26"/>
    </w:rPr>
  </w:style>
  <w:style w:type="paragraph" w:styleId="Odstavecseseznamem">
    <w:name w:val="List Paragraph"/>
    <w:basedOn w:val="Normln"/>
    <w:uiPriority w:val="99"/>
    <w:qFormat/>
    <w:rsid w:val="00392A4D"/>
    <w:pPr>
      <w:ind w:left="720"/>
      <w:contextualSpacing/>
    </w:pPr>
  </w:style>
  <w:style w:type="paragraph" w:styleId="Zkladntext">
    <w:name w:val="Body Text"/>
    <w:basedOn w:val="Normln"/>
    <w:link w:val="ZkladntextChar"/>
    <w:uiPriority w:val="99"/>
    <w:unhideWhenUsed/>
    <w:rsid w:val="00392A4D"/>
    <w:pPr>
      <w:spacing w:after="120"/>
    </w:pPr>
  </w:style>
  <w:style w:type="character" w:customStyle="1" w:styleId="ZkladntextChar">
    <w:name w:val="Základní text Char"/>
    <w:basedOn w:val="Standardnpsmoodstavce"/>
    <w:link w:val="Zkladntext"/>
    <w:uiPriority w:val="99"/>
    <w:rsid w:val="00392A4D"/>
    <w:rPr>
      <w:rFonts w:ascii="Tahoma" w:hAnsi="Tahoma"/>
    </w:rPr>
  </w:style>
  <w:style w:type="paragraph" w:styleId="Bezmezer">
    <w:name w:val="No Spacing"/>
    <w:uiPriority w:val="1"/>
    <w:rsid w:val="00392A4D"/>
    <w:pPr>
      <w:spacing w:after="0" w:line="240" w:lineRule="auto"/>
    </w:pPr>
    <w:rPr>
      <w:rFonts w:ascii="Tahoma" w:hAnsi="Tahoma"/>
    </w:rPr>
  </w:style>
  <w:style w:type="paragraph" w:styleId="Obsah1">
    <w:name w:val="toc 1"/>
    <w:basedOn w:val="Normln"/>
    <w:next w:val="Normln"/>
    <w:autoRedefine/>
    <w:uiPriority w:val="39"/>
    <w:unhideWhenUsed/>
    <w:rsid w:val="00392A4D"/>
    <w:pPr>
      <w:spacing w:after="100"/>
    </w:pPr>
  </w:style>
  <w:style w:type="paragraph" w:styleId="Obsah2">
    <w:name w:val="toc 2"/>
    <w:basedOn w:val="Normln"/>
    <w:next w:val="Normln"/>
    <w:autoRedefine/>
    <w:uiPriority w:val="39"/>
    <w:unhideWhenUsed/>
    <w:rsid w:val="00392A4D"/>
    <w:pPr>
      <w:spacing w:after="100"/>
      <w:ind w:left="190"/>
    </w:pPr>
  </w:style>
  <w:style w:type="character" w:styleId="Zdraznnintenzivn">
    <w:name w:val="Intense Emphasis"/>
    <w:basedOn w:val="Standardnpsmoodstavce"/>
    <w:uiPriority w:val="21"/>
    <w:rsid w:val="00392A4D"/>
    <w:rPr>
      <w:i/>
      <w:iCs/>
      <w:color w:val="5B9BD5" w:themeColor="accent1"/>
    </w:rPr>
  </w:style>
  <w:style w:type="paragraph" w:styleId="Obsah4">
    <w:name w:val="toc 4"/>
    <w:basedOn w:val="Normln"/>
    <w:next w:val="Normln"/>
    <w:autoRedefine/>
    <w:uiPriority w:val="39"/>
    <w:unhideWhenUsed/>
    <w:rsid w:val="00392A4D"/>
    <w:pPr>
      <w:spacing w:after="100"/>
      <w:ind w:left="570"/>
    </w:pPr>
  </w:style>
  <w:style w:type="paragraph" w:styleId="Nadpisobsahu">
    <w:name w:val="TOC Heading"/>
    <w:basedOn w:val="Nadpis1"/>
    <w:next w:val="Normln"/>
    <w:uiPriority w:val="39"/>
    <w:unhideWhenUsed/>
    <w:rsid w:val="00392A4D"/>
    <w:pPr>
      <w:numPr>
        <w:numId w:val="0"/>
      </w:numPr>
      <w:spacing w:line="259" w:lineRule="auto"/>
      <w:jc w:val="left"/>
      <w:outlineLvl w:val="9"/>
    </w:pPr>
    <w:rPr>
      <w:caps/>
      <w:color w:val="7D2825"/>
      <w:sz w:val="32"/>
      <w:lang w:val="en-US"/>
    </w:rPr>
  </w:style>
  <w:style w:type="character" w:styleId="Hypertextovodkaz">
    <w:name w:val="Hyperlink"/>
    <w:basedOn w:val="Standardnpsmoodstavce"/>
    <w:uiPriority w:val="99"/>
    <w:unhideWhenUsed/>
    <w:rsid w:val="00392A4D"/>
    <w:rPr>
      <w:color w:val="0563C1" w:themeColor="hyperlink"/>
      <w:u w:val="single"/>
    </w:rPr>
  </w:style>
  <w:style w:type="paragraph" w:styleId="slovanseznam">
    <w:name w:val="List Number"/>
    <w:basedOn w:val="Normln"/>
    <w:uiPriority w:val="99"/>
    <w:unhideWhenUsed/>
    <w:rsid w:val="00392A4D"/>
    <w:pPr>
      <w:numPr>
        <w:numId w:val="6"/>
      </w:numPr>
      <w:contextualSpacing/>
    </w:pPr>
  </w:style>
  <w:style w:type="paragraph" w:styleId="slovanseznam2">
    <w:name w:val="List Number 2"/>
    <w:basedOn w:val="Normln"/>
    <w:uiPriority w:val="99"/>
    <w:unhideWhenUsed/>
    <w:rsid w:val="00392A4D"/>
    <w:pPr>
      <w:numPr>
        <w:numId w:val="7"/>
      </w:numPr>
      <w:contextualSpacing/>
    </w:pPr>
  </w:style>
  <w:style w:type="paragraph" w:styleId="slovanseznam3">
    <w:name w:val="List Number 3"/>
    <w:basedOn w:val="Normln"/>
    <w:uiPriority w:val="99"/>
    <w:unhideWhenUsed/>
    <w:rsid w:val="00392A4D"/>
    <w:pPr>
      <w:numPr>
        <w:numId w:val="8"/>
      </w:numPr>
      <w:contextualSpacing/>
    </w:pPr>
  </w:style>
  <w:style w:type="paragraph" w:styleId="slovanseznam4">
    <w:name w:val="List Number 4"/>
    <w:basedOn w:val="Normln"/>
    <w:uiPriority w:val="99"/>
    <w:unhideWhenUsed/>
    <w:rsid w:val="00392A4D"/>
    <w:pPr>
      <w:numPr>
        <w:numId w:val="9"/>
      </w:numPr>
      <w:contextualSpacing/>
    </w:pPr>
  </w:style>
  <w:style w:type="character" w:customStyle="1" w:styleId="Nadpis4Char">
    <w:name w:val="Nadpis 4 Char"/>
    <w:basedOn w:val="Standardnpsmoodstavce"/>
    <w:link w:val="Nadpis4"/>
    <w:uiPriority w:val="9"/>
    <w:rsid w:val="004F7B7D"/>
    <w:rPr>
      <w:rFonts w:ascii="Tahoma" w:eastAsiaTheme="majorEastAsia" w:hAnsi="Tahoma" w:cstheme="majorBidi"/>
      <w:iCs/>
      <w:color w:val="595959" w:themeColor="text1" w:themeTint="A6"/>
      <w:sz w:val="19"/>
    </w:rPr>
  </w:style>
  <w:style w:type="character" w:customStyle="1" w:styleId="Nadpis6Char">
    <w:name w:val="Nadpis 6 Char"/>
    <w:basedOn w:val="Standardnpsmoodstavce"/>
    <w:link w:val="Nadpis6"/>
    <w:uiPriority w:val="9"/>
    <w:rsid w:val="006937D4"/>
    <w:rPr>
      <w:rFonts w:ascii="Tahoma" w:eastAsiaTheme="majorEastAsia" w:hAnsi="Tahoma" w:cstheme="majorBidi"/>
      <w:color w:val="595959" w:themeColor="text1" w:themeTint="A6"/>
      <w:sz w:val="19"/>
    </w:rPr>
  </w:style>
  <w:style w:type="character" w:customStyle="1" w:styleId="Nadpis7Char">
    <w:name w:val="Nadpis 7 Char"/>
    <w:basedOn w:val="Standardnpsmoodstavce"/>
    <w:link w:val="Nadpis7"/>
    <w:uiPriority w:val="9"/>
    <w:semiHidden/>
    <w:rsid w:val="007332CF"/>
    <w:rPr>
      <w:rFonts w:asciiTheme="majorHAnsi" w:eastAsiaTheme="majorEastAsia" w:hAnsiTheme="majorHAnsi" w:cstheme="majorBidi"/>
      <w:i/>
      <w:iCs/>
      <w:color w:val="1F4D78" w:themeColor="accent1" w:themeShade="7F"/>
      <w:sz w:val="19"/>
    </w:rPr>
  </w:style>
  <w:style w:type="character" w:customStyle="1" w:styleId="Nadpis8Char">
    <w:name w:val="Nadpis 8 Char"/>
    <w:basedOn w:val="Standardnpsmoodstavce"/>
    <w:link w:val="Nadpis8"/>
    <w:uiPriority w:val="9"/>
    <w:semiHidden/>
    <w:rsid w:val="007332C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332CF"/>
    <w:rPr>
      <w:rFonts w:asciiTheme="majorHAnsi" w:eastAsiaTheme="majorEastAsia" w:hAnsiTheme="majorHAnsi" w:cstheme="majorBidi"/>
      <w:i/>
      <w:iCs/>
      <w:color w:val="272727" w:themeColor="text1" w:themeTint="D8"/>
      <w:sz w:val="21"/>
      <w:szCs w:val="21"/>
    </w:rPr>
  </w:style>
  <w:style w:type="table" w:styleId="Mkatabulky">
    <w:name w:val="Table Grid"/>
    <w:basedOn w:val="Normlntabulka"/>
    <w:rsid w:val="00665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13DDF"/>
    <w:pPr>
      <w:spacing w:after="0" w:line="240" w:lineRule="auto"/>
    </w:pPr>
    <w:rPr>
      <w:rFonts w:ascii="Tahoma" w:hAnsi="Tahoma"/>
      <w:color w:val="000000" w:themeColor="text1"/>
      <w:sz w:val="19"/>
    </w:rPr>
  </w:style>
  <w:style w:type="character" w:styleId="Nevyeenzmnka">
    <w:name w:val="Unresolved Mention"/>
    <w:basedOn w:val="Standardnpsmoodstavce"/>
    <w:uiPriority w:val="99"/>
    <w:semiHidden/>
    <w:unhideWhenUsed/>
    <w:rsid w:val="000C0478"/>
    <w:rPr>
      <w:color w:val="605E5C"/>
      <w:shd w:val="clear" w:color="auto" w:fill="E1DFDD"/>
    </w:rPr>
  </w:style>
  <w:style w:type="character" w:styleId="Odkaznakoment">
    <w:name w:val="annotation reference"/>
    <w:basedOn w:val="Standardnpsmoodstavce"/>
    <w:uiPriority w:val="99"/>
    <w:semiHidden/>
    <w:unhideWhenUsed/>
    <w:rsid w:val="006674ED"/>
    <w:rPr>
      <w:sz w:val="16"/>
      <w:szCs w:val="16"/>
    </w:rPr>
  </w:style>
  <w:style w:type="paragraph" w:styleId="Textkomente">
    <w:name w:val="annotation text"/>
    <w:basedOn w:val="Normln"/>
    <w:link w:val="TextkomenteChar"/>
    <w:uiPriority w:val="99"/>
    <w:unhideWhenUsed/>
    <w:rsid w:val="006674ED"/>
    <w:pPr>
      <w:spacing w:line="240" w:lineRule="auto"/>
    </w:pPr>
    <w:rPr>
      <w:sz w:val="20"/>
      <w:szCs w:val="20"/>
    </w:rPr>
  </w:style>
  <w:style w:type="character" w:customStyle="1" w:styleId="TextkomenteChar">
    <w:name w:val="Text komentáře Char"/>
    <w:basedOn w:val="Standardnpsmoodstavce"/>
    <w:link w:val="Textkomente"/>
    <w:uiPriority w:val="99"/>
    <w:rsid w:val="006674ED"/>
    <w:rPr>
      <w:rFonts w:ascii="Tahoma" w:hAnsi="Tahoma"/>
      <w:color w:val="000000" w:themeColor="text1"/>
      <w:sz w:val="20"/>
      <w:szCs w:val="20"/>
    </w:rPr>
  </w:style>
  <w:style w:type="paragraph" w:styleId="Pedmtkomente">
    <w:name w:val="annotation subject"/>
    <w:basedOn w:val="Textkomente"/>
    <w:next w:val="Textkomente"/>
    <w:link w:val="PedmtkomenteChar"/>
    <w:uiPriority w:val="99"/>
    <w:semiHidden/>
    <w:unhideWhenUsed/>
    <w:rsid w:val="006674ED"/>
    <w:rPr>
      <w:b/>
      <w:bCs/>
    </w:rPr>
  </w:style>
  <w:style w:type="character" w:customStyle="1" w:styleId="PedmtkomenteChar">
    <w:name w:val="Předmět komentáře Char"/>
    <w:basedOn w:val="TextkomenteChar"/>
    <w:link w:val="Pedmtkomente"/>
    <w:uiPriority w:val="99"/>
    <w:semiHidden/>
    <w:rsid w:val="006674ED"/>
    <w:rPr>
      <w:rFonts w:ascii="Tahoma" w:hAnsi="Tahoma"/>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pv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docx@pv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43" ma:contentTypeDescription="Vytvoří nový dokument" ma:contentTypeScope="" ma:versionID="7eb861090c20e163739206764f67598d">
  <xsd:schema xmlns:xsd="http://www.w3.org/2001/XMLSchema" xmlns:xs="http://www.w3.org/2001/XMLSchema" xmlns:p="http://schemas.microsoft.com/office/2006/metadata/properties" xmlns:ns2="c49aa121-d839-403f-9ece-f92336e3c6a8" targetNamespace="http://schemas.microsoft.com/office/2006/metadata/properties" ma:root="true" ma:fieldsID="a059c0b0c91c7857800db2fe1ef65d00"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element ref="ns2:pvs_akceP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2360ce05-7a9d-4253-8d72-76f297a58a0c"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2360ce05-7a9d-4253-8d72-76f297a58a0c"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dexed="true"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element name="pvs_akcePopis" ma:index="187" nillable="true" ma:displayName="Popis akce2" ma:description="Názvy akcí  které nejsou evidovány a z TIS je přenášena paušální hodnota" ma:internalName="pvs_akcePop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29</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2025-04-23T07:08:00+00:00</s_lawyerApproverDate>
    <s_financialApprover xmlns="c49aa121-d839-403f-9ece-f92336e3c6a8">
      <UserInfo>
        <DisplayName>Veselá Ilona</DisplayName>
        <AccountId>47</AccountId>
        <AccountType/>
      </UserInfo>
    </s_financialApprover>
    <s_financialApproverDate xmlns="c49aa121-d839-403f-9ece-f92336e3c6a8">2025-04-23T08:03:00+00:00</s_financialApproverDate>
    <s_projectLookup xmlns="c49aa121-d839-403f-9ece-f92336e3c6a8" xsi:nil="true"/>
    <s_amountMoney xmlns="c49aa121-d839-403f-9ece-f92336e3c6a8">2000000</s_amountMoney>
    <s_office xmlns="c49aa121-d839-403f-9ece-f92336e3c6a8" xsi:nil="true"/>
    <s_sendToTIS xmlns="c49aa121-d839-403f-9ece-f92336e3c6a8">false</s_sendToTIS>
    <s_contractorFileMark xmlns="c49aa121-d839-403f-9ece-f92336e3c6a8">C 212268 vedená u Městského soudu v Praze </s_contractorFileMark>
    <s_currentApprovers xmlns="c49aa121-d839-403f-9ece-f92336e3c6a8">
      <UserInfo>
        <DisplayName>Schovánková Karolína</DisplayName>
        <AccountId>66</AccountId>
        <AccountType/>
      </UserInfo>
      <UserInfo>
        <DisplayName>Štrupl Jiří</DisplayName>
        <AccountId>77</AccountId>
        <AccountType/>
      </UserInfo>
      <UserInfo>
        <DisplayName>Řehák Petr</DisplayName>
        <AccountId>62</AccountId>
        <AccountType/>
      </UserInfo>
      <UserInfo>
        <DisplayName>Veselá Ilona</DisplayName>
        <AccountId>47</AccountId>
        <AccountType/>
      </UserInfo>
      <UserInfo>
        <DisplayName>Bureš Petr</DisplayName>
        <AccountId>45</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CZ48118753</s_contractorVAT>
    <s_contractorZIP xmlns="c49aa121-d839-403f-9ece-f92336e3c6a8">14000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ESG zpráva za rok 2024</s_subjectShortened>
    <s_contractNumberText xmlns="c49aa121-d839-403f-9ece-f92336e3c6a8">0079/25</s_contractNumberText>
    <s_contractor xmlns="c49aa121-d839-403f-9ece-f92336e3c6a8" xsi:nil="true"/>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PORTOS, advokátní kancelář s.r.o.</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
        <AccountId xsi:nil="true"/>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Poradenská smlouva</TermName>
          <TermId xmlns="http://schemas.microsoft.com/office/infopath/2007/PartnerControls">5409f18c-0e8e-40f2-bd62-11d248411c3b</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Mrázková Zdeňka</DisplayName>
        <AccountId>233</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2025-04-23T09:35:00+00:00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Nusle</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[{"Cells":["2025-04-07T15:37:23","i:0#.w|pvs\\mrazkovaz","Start WF Schválení","Komentář: přischválení Ing. Štrupla"],"IsDeleted":false,"IsSelected":false},{"Cells":["2025-04-07T15:37:32","i:0#.w|pvs\\schovankovak","Přiděleno ke schválení vedoucímu úseku",""],"IsDeleted":false,"IsSelected":false},{"Cells":["2025-04-07T15:41:10","i:0#.w|pvs\\struplj","Přiděleno k přischválení",""],"IsDeleted":false,"IsSelected":false},{"Cells":["2025-04-14T11:31:11","i:0#.w|pvs\\struplj","Neschvaluji","Nabídka byla na popud PVS upravena o část Taxonomie, neboť v průběhu ZŘ došlo v EK k úpravám (zmírnění) požadavků. Vysoutěžená smlouva bude muset být o část taxonomie upravena. "],"IsDeleted":false,"IsSelected":false},{"Cells":["2025-04-14T12:24:18","i:0#.w|pvs\\schovankovak","{TiSP:Returned}","Prosím, zašli znovu k připomínkování Ing. Štruplovi, změnily se okolnosti a upraví text - předmět smlouvy. K"],"IsDeleted":false,"IsSelected":false},{"Cells":["2025-04-14T12:30:14","i:0#.w|pvs\\mrazkovaz","{TiSP:To_addData}",""],"IsDeleted":false,"IsSelected":false},{"Cells":["2025-04-14T12:30:33","i:0#.w|pvs\\schovankovak","Přiděleno ke schválení vedoucímu úseku",""],"IsDeleted":false,"IsSelected":false},{"Cells":["2025-04-14T12:31:39","i:0#.w|pvs\\schovankovak","{TiSP:Returned}","*"],"IsDeleted":false,"IsSelected":false},{"Cells":["2025-04-15T09:57:28","i:0#.w|pvs\\mrazkovaz","Delegováno na Štrupl Jiří","Dobrý den,\ndle ústní dohody zasílám k připomínkování a prosím o úpravu smlouvy dle nové nabídky."],"IsDeleted":false,"IsSelected":false},{"Cells":["2025-04-15T13:53:18","i:0#.w|pvs\\struplj","{TiSP:To_addData}","Po interní dohodě, uzavřeme takto vysoutěženou smlouvu a následně uzav řeme s ohledem na jednání s EK (Omnibus) dodatek, který upraví předmět a odměnu za dílo."],"IsDeleted":false,"IsSelected":false},{"Cells":["2025-04-15T13:53:40","i:0#.w|pvs\\schovankovak","Přiděleno ke schválení vedoucímu úseku",""],"IsDeleted":false,"IsSelected":false},{"Cells":["2025-04-15T16:23:32","i:0#.w|pvs\\struplj","Přiděleno k přischválení",""],"IsDeleted":false,"IsSelected":false},{"Cells":["2025-04-16T13:27:30","i:0#.w|pvs\\struplj","Schvaluji",""],"IsDeleted":false,"IsSelected":false},{"Cells":["2025-04-17T10:31:25","i:0#.w|pvs\\schovankovak","{TiSP:Approved}",""],"IsDeleted":false,"IsSelected":false},{"Cells":["2025-04-17T10:31:36","i:0#.w|pvs\\rehakp","Přiděleno ke schválení Vedoucímu právního úseku",""],"IsDeleted":false,"IsSelected":false},{"Cells":["2025-04-17T10:49:02","i:0#.w|pvs\\struplj","Přiděleno k přischválení",""],"IsDeleted":false,"IsSelected":false},{"Cells":["2025-04-17T11:47:25","i:0#.w|pvs\\struplj","Schvaluji","Schvaluji"],"IsDeleted":false,"IsSelected":false},{"Cells":["2025-04-23T09:07:59","i:0#.w|pvs\\rehakp","{TiSP:Approved}",""],"IsDeleted":false,"IsSelected":false},{"Cells":["2025-04-23T09:08:19","i:0#.w|pvs\\veselai","Přiděleno ke schválení ŘD5",""],"IsDeleted":false,"IsSelected":false},{"Cells":["2025-04-23T10:03:31","i:0#.w|pvs\\veselai","{TiSP:Approved}",""],"IsDeleted":false,"IsSelected":false},{"Cells":["2025-04-23T10:03:39","i:0#.w|pvs\\buresp","Přiděleno ke schválení řediteli divize",""],"IsDeleted":false,"IsSelected":false},{"Cells":["2025-04-23T11:34:53","i:0#.w|pvs\\buresp","{TiSP:Approved}",""],"IsDeleted":false,"IsSelected":false},{"Cells":["2025-04-23T11:35:21","i:0#.w|pvs\\mrazkovaz","Smlouva schválena, zajistit odeslání smlouvy protistraně",""],"IsDeleted":false,"IsSelected":false},{"Cells":["2025-04-23T15:03:45","i:0#.w|pvs\\mrazkovaz","{TiSP:To_signed}",""],"IsDeleted":false,"IsSelected":false}]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(15.04.2025 13:53)     Mrázková Zdeňka - Start WF Schválení
(16.04.2025 13:27)     Přischvalovatel Štrupl Jiří - Schvaluji
(17.04.2025 10:31)     Schovánková Karolína - Schváleno
(17.04.2025 10:31)     Schovánková Karolína - Schváleno
(17.04.2025 11:47)     Přischvalovatel Štrupl Jiří - Schvaluji
(23.04.2025 09:08)     Řehák Petr - Schváleno
(23.04.2025 10:03)     Veselá Ilona - Schváleno
(23.04.2025 11:35)     Bureš Petr - Schváleno
(23.04.2025 11:35)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s_contractNumber xmlns="c49aa121-d839-403f-9ece-f92336e3c6a8">0079/25</s_contractNumber>
    <s_toContractNumber xmlns="c49aa121-d839-403f-9ece-f92336e3c6a8" xsi:nil="true"/>
    <s_totalAmountMoney xmlns="c49aa121-d839-403f-9ece-f92336e3c6a8">2000000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0</s_numberOfAttachments>
    <s_contractorStreet xmlns="c49aa121-d839-403f-9ece-f92336e3c6a8">Hvězdova 1716/2b</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ESG zpráva za rok 2024</s_subject>
    <s_actionNumber xmlns="c49aa121-d839-403f-9ece-f92336e3c6a8" xsi:nil="true"/>
    <s_ApplicantManager xmlns="c49aa121-d839-403f-9ece-f92336e3c6a8">
      <UserInfo>
        <DisplayName>Schovánková Karolína</DisplayName>
        <AccountId>66</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[{"Cells":["-#;PORTOS, advokátní kancelář s.r.o.","92790804","1205832","PORTOS, advokátní kancelář s.r.o.","","","2","","","Hvězdova","Hvězdova 1716/2b","2b","Praha - Nusle","14000","CZ","","48118753","CZ48118753","A","01.12.1995 0:00:00","","SR","C 212268 vedená u Městského soudu v Praze ","","","","","","","N","","","1716","","Statutární orgány:\nStatutární orgán, počet členů: 4, způsob jednání: Každý z jednatelů zastupuje společnost samostatně."]}]</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Štrupl Jiří</DisplayName>
        <AccountId>77</AccountId>
        <AccountType/>
      </UserInfo>
    </s_managedBy>
    <s_division xmlns="c49aa121-d839-403f-9ece-f92336e3c6a8">03</s_division>
    <s_supplierIdentificationNumber xmlns="c49aa121-d839-403f-9ece-f92336e3c6a8">48118753</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Poradenská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počet členů: 4, způsob jednání: Každý z jednatelů zastupuje společnost samostatně.</s_contractorRepresentative>
    <s_contractorEmail xmlns="c49aa121-d839-403f-9ece-f92336e3c6a8" xsi:nil="true"/>
    <s_synchronizationStatusHMP xmlns="c49aa121-d839-403f-9ece-f92336e3c6a8" xsi:nil="true"/>
    <s_cr_publishedDate xmlns="c49aa121-d839-403f-9ece-f92336e3c6a8">2025-05-16T11:20:00+00:00</s_cr_publishedDate>
    <s_cr_publisherIsSigner xmlns="c49aa121-d839-403f-9ece-f92336e3c6a8">false</s_cr_publisherIsSigner>
    <pvs_akcePopis xmlns="c49aa121-d839-403f-9ece-f92336e3c6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BA017-5934-447C-9B84-9CE7BBA0A5FE}">
  <ds:schemaRefs>
    <ds:schemaRef ds:uri="http://schemas.microsoft.com/sharepoint/v3/contenttype/forms"/>
  </ds:schemaRefs>
</ds:datastoreItem>
</file>

<file path=customXml/itemProps2.xml><?xml version="1.0" encoding="utf-8"?>
<ds:datastoreItem xmlns:ds="http://schemas.openxmlformats.org/officeDocument/2006/customXml" ds:itemID="{57EE9248-14F1-49D7-B568-9D31F438B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aa121-d839-403f-9ece-f92336e3c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0C45B-01F3-44E0-9E43-4AEF0E983967}">
  <ds:schemaRef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c49aa121-d839-403f-9ece-f92336e3c6a8"/>
    <ds:schemaRef ds:uri="http://purl.org/dc/dcmitype/"/>
    <ds:schemaRef ds:uri="http://purl.org/dc/terms/"/>
  </ds:schemaRefs>
</ds:datastoreItem>
</file>

<file path=customXml/itemProps4.xml><?xml version="1.0" encoding="utf-8"?>
<ds:datastoreItem xmlns:ds="http://schemas.openxmlformats.org/officeDocument/2006/customXml" ds:itemID="{16E5799B-03AA-44B1-A79D-E38B79A0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3482</Words>
  <Characters>20548</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Kamberská Martina</dc:creator>
  <cp:keywords/>
  <dc:description/>
  <cp:lastModifiedBy>Mrázková Zdeňka</cp:lastModifiedBy>
  <cp:revision>7</cp:revision>
  <cp:lastPrinted>2025-03-11T11:12:00Z</cp:lastPrinted>
  <dcterms:created xsi:type="dcterms:W3CDTF">2025-03-13T10:36:00Z</dcterms:created>
  <dcterms:modified xsi:type="dcterms:W3CDTF">2025-04-23T11:49:00Z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15b5a1291fb6ab66ac9d307b3130df92733aefa8e585d7af2b97c4241a19397e</vt:lpwstr>
  </property>
  <property fmtid="{D5CDD505-2E9C-101B-9397-08002B2CF9AE}" pid="3" name="ContentTypeId">
    <vt:lpwstr>0x010100FE61DD4AF0132149BE6FD2F36E48F45000929CFE7111F8A58F6F555533EEBC995400D108E6AC8BA82E4392B79A3EFA71DBD9</vt:lpwstr>
  </property>
  <property fmtid="{D5CDD505-2E9C-101B-9397-08002B2CF9AE}" pid="4" name="s_sectionGroupManagedBy">
    <vt:lpwstr>projektové řízení</vt:lpwstr>
  </property>
  <property fmtid="{D5CDD505-2E9C-101B-9397-08002B2CF9AE}" pid="5" name="s_contractCategory">
    <vt:lpwstr>29</vt:lpwstr>
  </property>
  <property fmtid="{D5CDD505-2E9C-101B-9397-08002B2CF9AE}" pid="6" name="s_divisionManagedBy">
    <vt:lpwstr>GŘ</vt:lpwstr>
  </property>
  <property fmtid="{D5CDD505-2E9C-101B-9397-08002B2CF9AE}" pid="7" name="ContentTypeIndex">
    <vt:i4>0</vt:i4>
  </property>
  <property fmtid="{D5CDD505-2E9C-101B-9397-08002B2CF9AE}" pid="8" name="s_documentCategory">
    <vt:lpwstr/>
  </property>
  <property fmtid="{D5CDD505-2E9C-101B-9397-08002B2CF9AE}" pid="9" name="pvs_ramcovaSml">
    <vt:lpwstr>Ano</vt:lpwstr>
  </property>
  <property fmtid="{D5CDD505-2E9C-101B-9397-08002B2CF9AE}" pid="10" name="s_managedByManager">
    <vt:lpwstr>50</vt:lpwstr>
  </property>
</Properties>
</file>