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706" w:type="dxa"/>
        <w:tblInd w:w="5" w:type="dxa"/>
        <w:tblLook w:val="04A0" w:firstRow="1" w:lastRow="0" w:firstColumn="1" w:lastColumn="0" w:noHBand="0" w:noVBand="1"/>
      </w:tblPr>
      <w:tblGrid>
        <w:gridCol w:w="499"/>
        <w:gridCol w:w="9255"/>
      </w:tblGrid>
      <w:tr w:rsidR="008D3253" w14:paraId="3F223F51" w14:textId="77777777">
        <w:trPr>
          <w:trHeight w:val="1042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5389296E" w14:textId="77777777" w:rsidR="008D3253" w:rsidRDefault="005B05CD">
            <w:pPr>
              <w:ind w:left="0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3009B15" wp14:editId="094A5DFB">
                  <wp:extent cx="381026" cy="661447"/>
                  <wp:effectExtent l="0" t="0" r="0" b="0"/>
                  <wp:docPr id="5796" name="Picture 5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6" name="Picture 57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6" cy="661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2" w:type="dxa"/>
            <w:tcBorders>
              <w:top w:val="nil"/>
              <w:left w:val="nil"/>
              <w:bottom w:val="nil"/>
              <w:right w:val="nil"/>
            </w:tcBorders>
          </w:tcPr>
          <w:p w14:paraId="5007534D" w14:textId="77777777" w:rsidR="008D3253" w:rsidRDefault="008D3253">
            <w:pPr>
              <w:ind w:left="-2359" w:right="11031"/>
            </w:pPr>
          </w:p>
          <w:tbl>
            <w:tblPr>
              <w:tblStyle w:val="TableGrid"/>
              <w:tblW w:w="8237" w:type="dxa"/>
              <w:tblInd w:w="434" w:type="dxa"/>
              <w:tblLook w:val="04A0" w:firstRow="1" w:lastRow="0" w:firstColumn="1" w:lastColumn="0" w:noHBand="0" w:noVBand="1"/>
            </w:tblPr>
            <w:tblGrid>
              <w:gridCol w:w="1773"/>
              <w:gridCol w:w="3642"/>
              <w:gridCol w:w="2822"/>
            </w:tblGrid>
            <w:tr w:rsidR="008D3253" w14:paraId="7C50C8C5" w14:textId="77777777">
              <w:trPr>
                <w:trHeight w:val="734"/>
              </w:trPr>
              <w:tc>
                <w:tcPr>
                  <w:tcW w:w="18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41391DB" w14:textId="77777777" w:rsidR="008D3253" w:rsidRDefault="005B05CD">
                  <w:pPr>
                    <w:spacing w:after="6"/>
                    <w:ind w:left="0"/>
                  </w:pPr>
                  <w:r>
                    <w:t>Zákaznické číslo:</w:t>
                  </w:r>
                </w:p>
                <w:p w14:paraId="3DCF5314" w14:textId="77777777" w:rsidR="008D3253" w:rsidRDefault="005B05CD">
                  <w:pPr>
                    <w:ind w:left="5"/>
                  </w:pPr>
                  <w:r>
                    <w:t>Číslo smlouvy: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5B2FBE8" w14:textId="77777777" w:rsidR="008D3253" w:rsidRDefault="005B05CD">
                  <w:pPr>
                    <w:ind w:left="0"/>
                  </w:pPr>
                  <w:r>
                    <w:rPr>
                      <w:sz w:val="20"/>
                    </w:rPr>
                    <w:t>5100017471</w:t>
                  </w:r>
                </w:p>
                <w:p w14:paraId="4E76E4B9" w14:textId="77777777" w:rsidR="008D3253" w:rsidRDefault="005B05CD">
                  <w:pPr>
                    <w:ind w:left="0"/>
                  </w:pPr>
                  <w:r>
                    <w:rPr>
                      <w:sz w:val="20"/>
                    </w:rPr>
                    <w:t>0300005225</w:t>
                  </w:r>
                </w:p>
              </w:tc>
              <w:tc>
                <w:tcPr>
                  <w:tcW w:w="2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316732" w14:textId="77777777" w:rsidR="008D3253" w:rsidRDefault="005B05CD">
                  <w:pPr>
                    <w:ind w:left="0"/>
                    <w:jc w:val="both"/>
                  </w:pPr>
                  <w:r>
                    <w:rPr>
                      <w:sz w:val="182"/>
                      <w:u w:val="single" w:color="000000"/>
                    </w:rPr>
                    <w:t>e</w:t>
                  </w:r>
                  <w:r>
                    <w:rPr>
                      <w:sz w:val="182"/>
                    </w:rPr>
                    <w:t>on</w:t>
                  </w:r>
                </w:p>
              </w:tc>
            </w:tr>
          </w:tbl>
          <w:p w14:paraId="42332514" w14:textId="77777777" w:rsidR="008D3253" w:rsidRDefault="008D3253">
            <w:pPr>
              <w:spacing w:after="160"/>
              <w:ind w:left="0"/>
            </w:pPr>
          </w:p>
        </w:tc>
      </w:tr>
    </w:tbl>
    <w:p w14:paraId="1FE3D21B" w14:textId="77777777" w:rsidR="008D3253" w:rsidRDefault="005B05CD">
      <w:pPr>
        <w:spacing w:after="100" w:line="236" w:lineRule="auto"/>
        <w:ind w:right="778"/>
      </w:pPr>
      <w:r>
        <w:rPr>
          <w:sz w:val="30"/>
        </w:rPr>
        <w:t>Smlouva o sdružených službách dodávky elektřiny ze sítě nízkého napětí (dále jen 'Smlouva”)</w:t>
      </w:r>
    </w:p>
    <w:p w14:paraId="02001AD2" w14:textId="77777777" w:rsidR="008D3253" w:rsidRDefault="005B05CD">
      <w:pPr>
        <w:ind w:right="4"/>
      </w:pPr>
      <w:r>
        <w:t>Dodavatel</w:t>
      </w:r>
    </w:p>
    <w:p w14:paraId="5911A8EE" w14:textId="77777777" w:rsidR="008D3253" w:rsidRDefault="005B05CD">
      <w:pPr>
        <w:spacing w:after="92"/>
        <w:ind w:left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5042880" wp14:editId="0B926077">
                <wp:extent cx="6190905" cy="12193"/>
                <wp:effectExtent l="0" t="0" r="0" b="0"/>
                <wp:docPr id="24585" name="Group 24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0905" cy="12193"/>
                          <a:chOff x="0" y="0"/>
                          <a:chExt cx="6190905" cy="12193"/>
                        </a:xfrm>
                      </wpg:grpSpPr>
                      <wps:wsp>
                        <wps:cNvPr id="24584" name="Shape 24584"/>
                        <wps:cNvSpPr/>
                        <wps:spPr>
                          <a:xfrm>
                            <a:off x="0" y="0"/>
                            <a:ext cx="6190905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905" h="12193">
                                <a:moveTo>
                                  <a:pt x="0" y="6096"/>
                                </a:moveTo>
                                <a:lnTo>
                                  <a:pt x="6190905" y="6096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4585" style="width:487.473pt;height:0.960052pt;mso-position-horizontal-relative:char;mso-position-vertical-relative:line" coordsize="61909,121">
                <v:shape id="Shape 24584" style="position:absolute;width:61909;height:121;left:0;top:0;" coordsize="6190905,12193" path="m0,6096l6190905,6096">
                  <v:stroke weight="0.96005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58A869C" w14:textId="77777777" w:rsidR="008D3253" w:rsidRDefault="005B05CD">
      <w:pPr>
        <w:ind w:hanging="10"/>
      </w:pPr>
      <w:r>
        <w:rPr>
          <w:sz w:val="20"/>
        </w:rPr>
        <w:t xml:space="preserve">E.ON Energie, a.s., F. A. </w:t>
      </w:r>
      <w:proofErr w:type="spellStart"/>
      <w:r>
        <w:rPr>
          <w:sz w:val="20"/>
        </w:rPr>
        <w:t>Gerstnera</w:t>
      </w:r>
      <w:proofErr w:type="spellEnd"/>
      <w:r>
        <w:rPr>
          <w:sz w:val="20"/>
        </w:rPr>
        <w:t xml:space="preserve"> 2151/6, české Budějovice 7, 370 01 české Budějovice I </w:t>
      </w:r>
      <w:proofErr w:type="spellStart"/>
      <w:r>
        <w:rPr>
          <w:sz w:val="20"/>
        </w:rPr>
        <w:t>lč</w:t>
      </w:r>
      <w:proofErr w:type="spellEnd"/>
      <w:r>
        <w:rPr>
          <w:sz w:val="20"/>
        </w:rPr>
        <w:t>: 26078201 | DIČ: CZ26078201 1</w:t>
      </w:r>
    </w:p>
    <w:p w14:paraId="7E5AD879" w14:textId="77777777" w:rsidR="008D3253" w:rsidRDefault="005B05CD">
      <w:pPr>
        <w:ind w:right="3039"/>
      </w:pPr>
      <w:r>
        <w:t xml:space="preserve">Obchodní rejstřík u Krajského soudu v Českých Budějovicích oddíl B, vložka 1390 Zastoupený E.ON česká republika, s. r. 0. | </w:t>
      </w:r>
      <w:proofErr w:type="spellStart"/>
      <w:r>
        <w:t>lč</w:t>
      </w:r>
      <w:proofErr w:type="spellEnd"/>
      <w:r>
        <w:t>: 25733591 | DIČ: CZ25733591</w:t>
      </w:r>
    </w:p>
    <w:p w14:paraId="7E2F96EF" w14:textId="42F50E56" w:rsidR="008D3253" w:rsidRDefault="005B05CD">
      <w:pPr>
        <w:ind w:right="4"/>
      </w:pPr>
      <w:r>
        <w:t>Kontakt: E.ON</w:t>
      </w:r>
      <w:r>
        <w:t xml:space="preserve"> Zákaznická linka 800 111 250, </w:t>
      </w:r>
    </w:p>
    <w:p w14:paraId="02BE4E22" w14:textId="77777777" w:rsidR="008D3253" w:rsidRDefault="005B05CD">
      <w:pPr>
        <w:spacing w:after="246"/>
        <w:ind w:left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98B5DEC" wp14:editId="429ECC0D">
                <wp:extent cx="6190905" cy="12193"/>
                <wp:effectExtent l="0" t="0" r="0" b="0"/>
                <wp:docPr id="24587" name="Group 24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0905" cy="12193"/>
                          <a:chOff x="0" y="0"/>
                          <a:chExt cx="6190905" cy="12193"/>
                        </a:xfrm>
                      </wpg:grpSpPr>
                      <wps:wsp>
                        <wps:cNvPr id="24586" name="Shape 24586"/>
                        <wps:cNvSpPr/>
                        <wps:spPr>
                          <a:xfrm>
                            <a:off x="0" y="0"/>
                            <a:ext cx="6190905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905" h="12193">
                                <a:moveTo>
                                  <a:pt x="0" y="6096"/>
                                </a:moveTo>
                                <a:lnTo>
                                  <a:pt x="6190905" y="6096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4587" style="width:487.473pt;height:0.960052pt;mso-position-horizontal-relative:char;mso-position-vertical-relative:line" coordsize="61909,121">
                <v:shape id="Shape 24586" style="position:absolute;width:61909;height:121;left:0;top:0;" coordsize="6190905,12193" path="m0,6096l6190905,6096">
                  <v:stroke weight="0.96005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9C812D7" w14:textId="77777777" w:rsidR="008D3253" w:rsidRDefault="005B05CD">
      <w:pPr>
        <w:tabs>
          <w:tab w:val="center" w:pos="6336"/>
        </w:tabs>
        <w:ind w:left="0"/>
      </w:pPr>
      <w:r>
        <w:t>Zákazník</w:t>
      </w:r>
      <w:r>
        <w:tab/>
        <w:t xml:space="preserve">Kategorie: </w:t>
      </w:r>
      <w:proofErr w:type="gramStart"/>
      <w:r>
        <w:t>Podnikatel - právnická</w:t>
      </w:r>
      <w:proofErr w:type="gramEnd"/>
      <w:r>
        <w:t xml:space="preserve"> osoba</w:t>
      </w:r>
    </w:p>
    <w:p w14:paraId="6B87AD8D" w14:textId="77777777" w:rsidR="008D3253" w:rsidRDefault="005B05CD">
      <w:pPr>
        <w:spacing w:after="112"/>
        <w:ind w:left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106D3BB" wp14:editId="5DF591EF">
                <wp:extent cx="6190905" cy="12192"/>
                <wp:effectExtent l="0" t="0" r="0" b="0"/>
                <wp:docPr id="24589" name="Group 24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0905" cy="12192"/>
                          <a:chOff x="0" y="0"/>
                          <a:chExt cx="6190905" cy="12192"/>
                        </a:xfrm>
                      </wpg:grpSpPr>
                      <wps:wsp>
                        <wps:cNvPr id="24588" name="Shape 24588"/>
                        <wps:cNvSpPr/>
                        <wps:spPr>
                          <a:xfrm>
                            <a:off x="0" y="0"/>
                            <a:ext cx="619090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905" h="12192">
                                <a:moveTo>
                                  <a:pt x="0" y="6096"/>
                                </a:moveTo>
                                <a:lnTo>
                                  <a:pt x="6190905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4589" style="width:487.473pt;height:0.960037pt;mso-position-horizontal-relative:char;mso-position-vertical-relative:line" coordsize="61909,121">
                <v:shape id="Shape 24588" style="position:absolute;width:61909;height:121;left:0;top:0;" coordsize="6190905,12192" path="m0,6096l6190905,6096">
                  <v:stroke weight="0.9600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F19FD32" w14:textId="77777777" w:rsidR="008D3253" w:rsidRDefault="005B05CD">
      <w:pPr>
        <w:ind w:right="4"/>
      </w:pPr>
      <w:r>
        <w:t>Název firmy: Dopravní společnost Zlín-Otrokovice, s.r.o.</w:t>
      </w:r>
    </w:p>
    <w:p w14:paraId="3313547C" w14:textId="77777777" w:rsidR="008D3253" w:rsidRDefault="005B05CD">
      <w:pPr>
        <w:tabs>
          <w:tab w:val="center" w:pos="5556"/>
        </w:tabs>
        <w:ind w:left="0"/>
      </w:pPr>
      <w:proofErr w:type="spellStart"/>
      <w:r>
        <w:rPr>
          <w:sz w:val="20"/>
        </w:rPr>
        <w:t>lč</w:t>
      </w:r>
      <w:proofErr w:type="spellEnd"/>
      <w:r>
        <w:rPr>
          <w:sz w:val="20"/>
        </w:rPr>
        <w:t>: 60730153</w:t>
      </w:r>
      <w:r>
        <w:rPr>
          <w:sz w:val="20"/>
        </w:rPr>
        <w:tab/>
        <w:t>DIČ: CZ60730153</w:t>
      </w:r>
    </w:p>
    <w:p w14:paraId="079CF36A" w14:textId="77777777" w:rsidR="008D3253" w:rsidRDefault="005B05CD">
      <w:pPr>
        <w:ind w:right="4"/>
      </w:pPr>
      <w:r>
        <w:t>Společnost je zapsána v OR uvedeném u KS/ v jiné evidenci: Obchodní rejstřík u Krajsk</w:t>
      </w:r>
      <w:r>
        <w:t>ého soudu v Brně oddíl C, vložka 17357</w:t>
      </w:r>
    </w:p>
    <w:p w14:paraId="2B32DF3C" w14:textId="77777777" w:rsidR="008D3253" w:rsidRDefault="005B05CD">
      <w:pPr>
        <w:ind w:hanging="10"/>
      </w:pPr>
      <w:r>
        <w:rPr>
          <w:sz w:val="20"/>
        </w:rPr>
        <w:t>Adresa sídla firmy: Podvesná XVII 3833, 760 01 Zlín</w:t>
      </w:r>
    </w:p>
    <w:p w14:paraId="59AABD56" w14:textId="77777777" w:rsidR="008D3253" w:rsidRDefault="005B05CD">
      <w:pPr>
        <w:ind w:hanging="10"/>
      </w:pPr>
      <w:r>
        <w:rPr>
          <w:sz w:val="20"/>
        </w:rPr>
        <w:t>Adresa pro doručování: Podvesná XVII 3833, 760 01 Zlín</w:t>
      </w:r>
    </w:p>
    <w:p w14:paraId="062E8375" w14:textId="66FB829D" w:rsidR="008D3253" w:rsidRDefault="005B05CD">
      <w:pPr>
        <w:ind w:hanging="10"/>
      </w:pPr>
      <w:r>
        <w:rPr>
          <w:sz w:val="20"/>
        </w:rPr>
        <w:t xml:space="preserve">Bankovní spojení: </w:t>
      </w:r>
    </w:p>
    <w:p w14:paraId="4175D29B" w14:textId="243E5E33" w:rsidR="008D3253" w:rsidRDefault="005B05CD">
      <w:pPr>
        <w:tabs>
          <w:tab w:val="center" w:pos="5897"/>
        </w:tabs>
        <w:ind w:left="0"/>
      </w:pPr>
      <w:r>
        <w:rPr>
          <w:sz w:val="20"/>
        </w:rPr>
        <w:t xml:space="preserve">E-mail: </w:t>
      </w:r>
      <w:r>
        <w:rPr>
          <w:sz w:val="20"/>
        </w:rPr>
        <w:tab/>
        <w:t xml:space="preserve">Telefon: </w:t>
      </w:r>
    </w:p>
    <w:p w14:paraId="601D5980" w14:textId="77777777" w:rsidR="008D3253" w:rsidRDefault="005B05CD">
      <w:pPr>
        <w:spacing w:after="253"/>
        <w:ind w:left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0EC7855" wp14:editId="7AD12E0A">
                <wp:extent cx="6190905" cy="12193"/>
                <wp:effectExtent l="0" t="0" r="0" b="0"/>
                <wp:docPr id="24591" name="Group 24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0905" cy="12193"/>
                          <a:chOff x="0" y="0"/>
                          <a:chExt cx="6190905" cy="12193"/>
                        </a:xfrm>
                      </wpg:grpSpPr>
                      <wps:wsp>
                        <wps:cNvPr id="24590" name="Shape 24590"/>
                        <wps:cNvSpPr/>
                        <wps:spPr>
                          <a:xfrm>
                            <a:off x="0" y="0"/>
                            <a:ext cx="6190905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905" h="12193">
                                <a:moveTo>
                                  <a:pt x="0" y="6097"/>
                                </a:moveTo>
                                <a:lnTo>
                                  <a:pt x="6190905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4591" style="width:487.473pt;height:0.960052pt;mso-position-horizontal-relative:char;mso-position-vertical-relative:line" coordsize="61909,121">
                <v:shape id="Shape 24590" style="position:absolute;width:61909;height:121;left:0;top:0;" coordsize="6190905,12193" path="m0,6097l6190905,6097">
                  <v:stroke weight="0.96005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0FF717E" w14:textId="77777777" w:rsidR="008D3253" w:rsidRDefault="005B05CD">
      <w:pPr>
        <w:ind w:right="4"/>
      </w:pPr>
      <w:r>
        <w:t>Předmět a obsah Smlouvy</w:t>
      </w:r>
    </w:p>
    <w:p w14:paraId="42B1E17D" w14:textId="77777777" w:rsidR="008D3253" w:rsidRDefault="005B05CD">
      <w:pPr>
        <w:spacing w:after="198" w:line="223" w:lineRule="auto"/>
        <w:ind w:right="19" w:hanging="5"/>
        <w:jc w:val="both"/>
      </w:pPr>
      <w:r>
        <w:t xml:space="preserve">Závazek Dodavatele dodávat Zákazníkovi </w:t>
      </w:r>
      <w:r>
        <w:t xml:space="preserve">elektřinu a zajistit na vlastní jméno, na vlastní účet a v potřebném rozsahu související služby v elektroenergetice a současně závazek Dodavatele převzít za Zákazníka odpovědnost za odchylku. Závazek Zákazníka zaplatit Dodavateli cenu za dodanou elektřinu </w:t>
      </w:r>
      <w:r>
        <w:t>a cenu za související služby v elektroenergetice.</w:t>
      </w:r>
    </w:p>
    <w:p w14:paraId="3D2455C5" w14:textId="77777777" w:rsidR="008D3253" w:rsidRDefault="005B05CD">
      <w:pPr>
        <w:ind w:right="4"/>
      </w:pPr>
      <w:r>
        <w:t>Odběrné místo</w:t>
      </w:r>
    </w:p>
    <w:p w14:paraId="35FB4CD8" w14:textId="77777777" w:rsidR="008D3253" w:rsidRDefault="005B05CD">
      <w:pPr>
        <w:ind w:right="4"/>
      </w:pPr>
      <w:r>
        <w:t>Údaje o místech spotřeby a o odběrných místech jsou uvedeny v příloze č. 1 této Smlouvy — Přehled a technická specifikace odběrných míst.</w:t>
      </w:r>
    </w:p>
    <w:p w14:paraId="04BFD1FD" w14:textId="77777777" w:rsidR="008D3253" w:rsidRDefault="005B05CD">
      <w:pPr>
        <w:ind w:right="4"/>
      </w:pPr>
      <w:r>
        <w:t>Každá nová aktualizace přílohy č. 1 zcela nahrazuje ob</w:t>
      </w:r>
      <w:r>
        <w:t>sah předchozí verze přílohy č. 1.</w:t>
      </w:r>
    </w:p>
    <w:p w14:paraId="4DE79061" w14:textId="77777777" w:rsidR="008D3253" w:rsidRDefault="005B05CD" w:rsidP="004E4581">
      <w:pPr>
        <w:spacing w:line="223" w:lineRule="auto"/>
        <w:ind w:right="202" w:hanging="5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5E03BAE" wp14:editId="465E5A67">
            <wp:simplePos x="0" y="0"/>
            <wp:positionH relativeFrom="page">
              <wp:posOffset>91446</wp:posOffset>
            </wp:positionH>
            <wp:positionV relativeFrom="page">
              <wp:posOffset>1944717</wp:posOffset>
            </wp:positionV>
            <wp:extent cx="518195" cy="6148108"/>
            <wp:effectExtent l="0" t="0" r="0" b="0"/>
            <wp:wrapSquare wrapText="bothSides"/>
            <wp:docPr id="24582" name="Picture 24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2" name="Picture 2458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195" cy="6148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 případě, že je údaj o typu/kategorii měření nebo hodnotě hlavního jističe nebo distribuční sazbě uvedený v této Smlouvě je jiný, než údaj evidovaný u příslušného provozovatele distribuční soustavy (dále jen ”Distributor</w:t>
      </w:r>
      <w:r>
        <w:t>"), dohodly se smluvní strany, že platí údaj evidovaný Distributorem.</w:t>
      </w:r>
    </w:p>
    <w:p w14:paraId="479ABF4A" w14:textId="77777777" w:rsidR="008D3253" w:rsidRDefault="005B05CD">
      <w:pPr>
        <w:ind w:right="4"/>
      </w:pPr>
      <w:r>
        <w:t>Doba platnosti a účinnosti Smlouvy</w:t>
      </w:r>
    </w:p>
    <w:p w14:paraId="16A962DC" w14:textId="77777777" w:rsidR="008D3253" w:rsidRDefault="005B05CD" w:rsidP="004E4581">
      <w:pPr>
        <w:ind w:right="115"/>
      </w:pPr>
      <w:r>
        <w:t>Tato Smlouva je platná ode dne podpisu oběma smluvními stranami a účinná zahájením dodávky dle této smlouvy, nejdříve však 1. 1. 2026. Smlouva je uzavř</w:t>
      </w:r>
      <w:r>
        <w:t>ena na dobu určitou do 31. 12. 2026, a to s možností jejího automatického prodloužení 0 12 měsíců, a to i opakovaně. K prodloužení Smlouvy nedojde, pokud jedna ze smluvních stran doručí nejpozději 90 dní před koncem sjednané doby trvání Smlouvy písemné sdě</w:t>
      </w:r>
      <w:r>
        <w:t>lení druhé smluvní straně, že trvá na ukončení Smlouvy uplynutím sjednané doby.</w:t>
      </w:r>
    </w:p>
    <w:p w14:paraId="7B4257C0" w14:textId="77777777" w:rsidR="008D3253" w:rsidRDefault="005B05CD">
      <w:pPr>
        <w:ind w:right="4"/>
      </w:pPr>
      <w:r>
        <w:t>Produktová řada a cena</w:t>
      </w:r>
    </w:p>
    <w:p w14:paraId="3B2D6C0B" w14:textId="77777777" w:rsidR="008D3253" w:rsidRDefault="005B05CD" w:rsidP="004E4581">
      <w:pPr>
        <w:ind w:right="4"/>
      </w:pPr>
      <w:r>
        <w:t xml:space="preserve">Produktová řada: </w:t>
      </w:r>
      <w:proofErr w:type="spellStart"/>
      <w:r>
        <w:t>SimpleProPower</w:t>
      </w:r>
      <w:proofErr w:type="spellEnd"/>
    </w:p>
    <w:p w14:paraId="5896AF3F" w14:textId="77777777" w:rsidR="008D3253" w:rsidRDefault="005B05CD">
      <w:pPr>
        <w:ind w:right="4"/>
      </w:pPr>
      <w:r>
        <w:t>Cena za dodávku pro období do 31. 12. 2026:</w:t>
      </w:r>
    </w:p>
    <w:tbl>
      <w:tblPr>
        <w:tblStyle w:val="TableGrid"/>
        <w:tblW w:w="7200" w:type="dxa"/>
        <w:tblInd w:w="0" w:type="dxa"/>
        <w:tblCellMar>
          <w:top w:w="53" w:type="dxa"/>
          <w:right w:w="115" w:type="dxa"/>
        </w:tblCellMar>
        <w:tblLook w:val="04A0" w:firstRow="1" w:lastRow="0" w:firstColumn="1" w:lastColumn="0" w:noHBand="0" w:noVBand="1"/>
      </w:tblPr>
      <w:tblGrid>
        <w:gridCol w:w="2049"/>
        <w:gridCol w:w="1795"/>
        <w:gridCol w:w="2103"/>
        <w:gridCol w:w="1253"/>
      </w:tblGrid>
      <w:tr w:rsidR="008D3253" w14:paraId="4C33A468" w14:textId="77777777">
        <w:trPr>
          <w:trHeight w:val="434"/>
        </w:trPr>
        <w:tc>
          <w:tcPr>
            <w:tcW w:w="2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CDE824" w14:textId="77777777" w:rsidR="008D3253" w:rsidRDefault="005B05CD">
            <w:pPr>
              <w:ind w:left="29" w:right="821" w:firstLine="5"/>
            </w:pPr>
            <w:r>
              <w:rPr>
                <w:sz w:val="16"/>
              </w:rPr>
              <w:t>Produkt dodávky</w:t>
            </w:r>
          </w:p>
        </w:tc>
        <w:tc>
          <w:tcPr>
            <w:tcW w:w="17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4F8845" w14:textId="77777777" w:rsidR="008D3253" w:rsidRDefault="005B05CD">
            <w:pPr>
              <w:ind w:left="283"/>
            </w:pPr>
            <w:r>
              <w:t>Cena ve VT</w:t>
            </w:r>
          </w:p>
          <w:p w14:paraId="032B74B8" w14:textId="77777777" w:rsidR="008D3253" w:rsidRDefault="005B05CD">
            <w:pPr>
              <w:ind w:left="0"/>
            </w:pPr>
            <w:r>
              <w:t>(Kč/</w:t>
            </w:r>
            <w:proofErr w:type="spellStart"/>
            <w:r>
              <w:t>MWh</w:t>
            </w:r>
            <w:proofErr w:type="spellEnd"/>
            <w:r>
              <w:t xml:space="preserve"> bez DPH)</w:t>
            </w: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296C6B" w14:textId="77777777" w:rsidR="008D3253" w:rsidRDefault="005B05CD">
            <w:pPr>
              <w:ind w:left="322"/>
            </w:pPr>
            <w:r>
              <w:rPr>
                <w:sz w:val="16"/>
              </w:rPr>
              <w:t>Cena v NT</w:t>
            </w:r>
          </w:p>
          <w:p w14:paraId="113119D8" w14:textId="77777777" w:rsidR="008D3253" w:rsidRDefault="005B05CD">
            <w:pPr>
              <w:ind w:left="0"/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Kč./</w:t>
            </w:r>
            <w:proofErr w:type="spellStart"/>
            <w:proofErr w:type="gramEnd"/>
            <w:r>
              <w:rPr>
                <w:sz w:val="16"/>
              </w:rPr>
              <w:t>MWh</w:t>
            </w:r>
            <w:proofErr w:type="spellEnd"/>
            <w:r>
              <w:rPr>
                <w:sz w:val="16"/>
              </w:rPr>
              <w:t xml:space="preserve"> bez DPH)</w:t>
            </w:r>
          </w:p>
        </w:tc>
        <w:tc>
          <w:tcPr>
            <w:tcW w:w="12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B93D33" w14:textId="77777777" w:rsidR="008D3253" w:rsidRDefault="005B05CD">
            <w:pPr>
              <w:ind w:left="43"/>
            </w:pPr>
            <w:r>
              <w:t>Stálý</w:t>
            </w:r>
            <w:r>
              <w:t xml:space="preserve"> plat</w:t>
            </w:r>
          </w:p>
          <w:p w14:paraId="146D9D2E" w14:textId="77777777" w:rsidR="008D3253" w:rsidRDefault="005B05CD">
            <w:pPr>
              <w:ind w:left="0"/>
            </w:pPr>
            <w:r>
              <w:t>(Kč/měsíc)</w:t>
            </w:r>
          </w:p>
        </w:tc>
      </w:tr>
      <w:tr w:rsidR="008D3253" w14:paraId="3B54B6E2" w14:textId="77777777">
        <w:trPr>
          <w:trHeight w:val="240"/>
        </w:trPr>
        <w:tc>
          <w:tcPr>
            <w:tcW w:w="2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371A8C" w14:textId="77777777" w:rsidR="008D3253" w:rsidRDefault="005B05CD">
            <w:pPr>
              <w:ind w:left="29"/>
            </w:pPr>
            <w:r>
              <w:t>Standard</w:t>
            </w:r>
          </w:p>
        </w:tc>
        <w:tc>
          <w:tcPr>
            <w:tcW w:w="17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0254DD" w14:textId="654473F4" w:rsidR="008D3253" w:rsidRDefault="008D3253">
            <w:pPr>
              <w:ind w:left="350"/>
            </w:pP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7E5A41" w14:textId="77777777" w:rsidR="008D3253" w:rsidRDefault="008D3253">
            <w:pPr>
              <w:spacing w:after="160"/>
              <w:ind w:left="0"/>
            </w:pPr>
          </w:p>
        </w:tc>
        <w:tc>
          <w:tcPr>
            <w:tcW w:w="12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5963C0" w14:textId="77777777" w:rsidR="008D3253" w:rsidRDefault="005B05CD">
            <w:pPr>
              <w:ind w:left="202"/>
            </w:pPr>
            <w:r>
              <w:t>0,00</w:t>
            </w:r>
          </w:p>
        </w:tc>
      </w:tr>
      <w:tr w:rsidR="008D3253" w14:paraId="0C509637" w14:textId="77777777">
        <w:trPr>
          <w:trHeight w:val="235"/>
        </w:trPr>
        <w:tc>
          <w:tcPr>
            <w:tcW w:w="2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F8D8F0" w14:textId="77777777" w:rsidR="008D3253" w:rsidRDefault="005B05CD">
            <w:pPr>
              <w:ind w:left="24"/>
            </w:pPr>
            <w:proofErr w:type="spellStart"/>
            <w:r>
              <w:t>Accu</w:t>
            </w:r>
            <w:proofErr w:type="spellEnd"/>
          </w:p>
        </w:tc>
        <w:tc>
          <w:tcPr>
            <w:tcW w:w="17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A74B0C" w14:textId="2AFE0726" w:rsidR="008D3253" w:rsidRDefault="008D3253">
            <w:pPr>
              <w:ind w:left="350"/>
            </w:pP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F6FFB9" w14:textId="0E213514" w:rsidR="008D3253" w:rsidRDefault="008D3253">
            <w:pPr>
              <w:ind w:left="350"/>
            </w:pPr>
          </w:p>
        </w:tc>
        <w:tc>
          <w:tcPr>
            <w:tcW w:w="12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BD396C" w14:textId="77777777" w:rsidR="008D3253" w:rsidRDefault="005B05CD">
            <w:pPr>
              <w:ind w:left="202"/>
            </w:pPr>
            <w:r>
              <w:t>0,00</w:t>
            </w:r>
          </w:p>
        </w:tc>
      </w:tr>
      <w:tr w:rsidR="008D3253" w14:paraId="1F18D65F" w14:textId="77777777">
        <w:trPr>
          <w:trHeight w:val="243"/>
        </w:trPr>
        <w:tc>
          <w:tcPr>
            <w:tcW w:w="2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9F7561" w14:textId="77777777" w:rsidR="008D3253" w:rsidRDefault="005B05CD">
            <w:pPr>
              <w:ind w:left="34"/>
            </w:pPr>
            <w:r>
              <w:t>Direct</w:t>
            </w:r>
          </w:p>
        </w:tc>
        <w:tc>
          <w:tcPr>
            <w:tcW w:w="17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66C2F6" w14:textId="362B54BC" w:rsidR="008D3253" w:rsidRDefault="008D3253">
            <w:pPr>
              <w:ind w:left="350"/>
            </w:pPr>
          </w:p>
        </w:tc>
        <w:tc>
          <w:tcPr>
            <w:tcW w:w="21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521E19" w14:textId="6E651033" w:rsidR="008D3253" w:rsidRDefault="008D3253">
            <w:pPr>
              <w:ind w:left="350"/>
            </w:pPr>
          </w:p>
        </w:tc>
        <w:tc>
          <w:tcPr>
            <w:tcW w:w="12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5990E7" w14:textId="77777777" w:rsidR="008D3253" w:rsidRDefault="005B05CD">
            <w:pPr>
              <w:ind w:left="202"/>
            </w:pPr>
            <w:r>
              <w:t>0,00</w:t>
            </w:r>
          </w:p>
        </w:tc>
      </w:tr>
    </w:tbl>
    <w:p w14:paraId="16E4B615" w14:textId="19FE311B" w:rsidR="008D3253" w:rsidRDefault="005B05CD">
      <w:pPr>
        <w:spacing w:after="195"/>
        <w:ind w:right="4"/>
      </w:pPr>
      <w:r>
        <w:t>Pro následující smluvní období platí cen</w:t>
      </w:r>
      <w:r w:rsidR="007733D0">
        <w:t>a</w:t>
      </w:r>
      <w:r>
        <w:t xml:space="preserve"> stanovená dle níže uvedeného odstavce.</w:t>
      </w:r>
    </w:p>
    <w:p w14:paraId="5F2A069D" w14:textId="77777777" w:rsidR="008D3253" w:rsidRDefault="005B05CD">
      <w:pPr>
        <w:ind w:right="4"/>
      </w:pPr>
      <w:r>
        <w:lastRenderedPageBreak/>
        <w:t>Cena za dodávku pro následující smluvní období</w:t>
      </w:r>
    </w:p>
    <w:p w14:paraId="6A4C9DB5" w14:textId="77777777" w:rsidR="008D3253" w:rsidRDefault="005B05CD" w:rsidP="004E4581">
      <w:pPr>
        <w:ind w:right="4"/>
      </w:pPr>
      <w:r>
        <w:t xml:space="preserve">Cena za dodávku elektřiny v příslušném rozhodném období se pro </w:t>
      </w:r>
      <w:r>
        <w:t xml:space="preserve">jednotlivé OM určí vynásobením jednotkové ceny za dodávku elektřiny (PC) pro dané OM v příslušném období s celkovým množstvím dodané elektřiny v tomto období do daného OM a takto stanovenou cenu za dodávku elektřiny včetně stálého platu, je-li sjednán, se </w:t>
      </w:r>
      <w:r>
        <w:t>Zákazník zavazuje zaplatit.</w:t>
      </w:r>
    </w:p>
    <w:p w14:paraId="184B1F71" w14:textId="77777777" w:rsidR="008D3253" w:rsidRDefault="005B05CD">
      <w:pPr>
        <w:ind w:right="4"/>
      </w:pPr>
      <w:r>
        <w:t>Rozhodným obdobím se pro účely této Smlouvy rozumí:</w:t>
      </w:r>
    </w:p>
    <w:p w14:paraId="1502011A" w14:textId="77777777" w:rsidR="008D3253" w:rsidRDefault="005B05CD">
      <w:pPr>
        <w:numPr>
          <w:ilvl w:val="0"/>
          <w:numId w:val="1"/>
        </w:numPr>
        <w:ind w:right="4" w:hanging="302"/>
      </w:pPr>
      <w:r>
        <w:t>kalendářní měsíc v případě OM s průběhovým typem měření,</w:t>
      </w:r>
    </w:p>
    <w:p w14:paraId="08F10E20" w14:textId="77777777" w:rsidR="008D3253" w:rsidRDefault="005B05CD">
      <w:pPr>
        <w:numPr>
          <w:ilvl w:val="0"/>
          <w:numId w:val="1"/>
        </w:numPr>
        <w:spacing w:after="157"/>
        <w:ind w:right="4" w:hanging="302"/>
      </w:pPr>
      <w:r>
        <w:t>celé fakturační období v případě OM s neprůběhovým typem měření.</w:t>
      </w:r>
    </w:p>
    <w:p w14:paraId="22B7A6A3" w14:textId="77777777" w:rsidR="008D3253" w:rsidRDefault="005B05CD" w:rsidP="004E4581">
      <w:pPr>
        <w:ind w:right="4"/>
      </w:pPr>
      <w:r>
        <w:t>Dodavatel a Zákazník sjednávají pro každé odběrné míst</w:t>
      </w:r>
      <w:r>
        <w:t>o (dále jen „OM”) zvlášť cenu za dodávku elektřiny (PC) v CZK/</w:t>
      </w:r>
      <w:proofErr w:type="spellStart"/>
      <w:r>
        <w:t>MWh</w:t>
      </w:r>
      <w:proofErr w:type="spellEnd"/>
      <w:r>
        <w:t xml:space="preserve"> bez daně z elektřiny a DPH za skutečně dodanou elektřinu vypočítanou dle následujícího vzorce:</w:t>
      </w:r>
    </w:p>
    <w:p w14:paraId="7A8079DA" w14:textId="77777777" w:rsidR="008D3253" w:rsidRDefault="005B05CD" w:rsidP="004E4581">
      <w:pPr>
        <w:pStyle w:val="Nadpis1"/>
        <w:spacing w:after="0"/>
        <w:ind w:right="23"/>
      </w:pPr>
      <w:r>
        <w:t>| 3</w:t>
      </w:r>
    </w:p>
    <w:p w14:paraId="2DCF9AB4" w14:textId="77777777" w:rsidR="008D3253" w:rsidRDefault="005B05CD">
      <w:pPr>
        <w:ind w:left="3442" w:hanging="10"/>
      </w:pPr>
      <w:r>
        <w:rPr>
          <w:sz w:val="12"/>
        </w:rPr>
        <w:t xml:space="preserve">N=počet </w:t>
      </w:r>
      <w:proofErr w:type="spellStart"/>
      <w:r>
        <w:rPr>
          <w:sz w:val="12"/>
        </w:rPr>
        <w:t>Vi</w:t>
      </w:r>
      <w:proofErr w:type="spellEnd"/>
      <w:r>
        <w:rPr>
          <w:sz w:val="12"/>
        </w:rPr>
        <w:t xml:space="preserve"> rozhodného období</w:t>
      </w:r>
    </w:p>
    <w:p w14:paraId="106EC4A2" w14:textId="77777777" w:rsidR="008D3253" w:rsidRDefault="005B05CD">
      <w:pPr>
        <w:ind w:left="3245"/>
      </w:pPr>
      <w:r>
        <w:rPr>
          <w:noProof/>
        </w:rPr>
        <w:drawing>
          <wp:inline distT="0" distB="0" distL="0" distR="0" wp14:anchorId="2CBEF33E" wp14:editId="3486527D">
            <wp:extent cx="2002671" cy="198130"/>
            <wp:effectExtent l="0" t="0" r="0" b="0"/>
            <wp:docPr id="24592" name="Picture 24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92" name="Picture 2459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02671" cy="19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A3B25" w14:textId="77777777" w:rsidR="008D3253" w:rsidRDefault="005B05CD">
      <w:pPr>
        <w:pStyle w:val="Nadpis2"/>
      </w:pPr>
      <w:r>
        <w:t>PC =</w:t>
      </w:r>
    </w:p>
    <w:p w14:paraId="603BA812" w14:textId="77777777" w:rsidR="008D3253" w:rsidRDefault="005B05CD">
      <w:pPr>
        <w:spacing w:after="34"/>
        <w:ind w:left="3442" w:hanging="10"/>
      </w:pPr>
      <w:r>
        <w:rPr>
          <w:sz w:val="12"/>
        </w:rPr>
        <w:t xml:space="preserve">N=počet </w:t>
      </w:r>
      <w:proofErr w:type="spellStart"/>
      <w:r>
        <w:rPr>
          <w:sz w:val="12"/>
        </w:rPr>
        <w:t>Vi</w:t>
      </w:r>
      <w:proofErr w:type="spellEnd"/>
      <w:r>
        <w:rPr>
          <w:sz w:val="12"/>
        </w:rPr>
        <w:t xml:space="preserve"> rozhodného období</w:t>
      </w:r>
    </w:p>
    <w:p w14:paraId="6BABAC21" w14:textId="77777777" w:rsidR="008D3253" w:rsidRDefault="005B05CD">
      <w:pPr>
        <w:spacing w:after="56"/>
        <w:ind w:left="1277"/>
        <w:jc w:val="center"/>
      </w:pPr>
      <w:r>
        <w:t>(</w:t>
      </w:r>
      <w:proofErr w:type="spellStart"/>
      <w:r>
        <w:t>SPh</w:t>
      </w:r>
      <w:proofErr w:type="spellEnd"/>
      <w:r>
        <w:t>)</w:t>
      </w:r>
    </w:p>
    <w:p w14:paraId="33F755EA" w14:textId="77777777" w:rsidR="008D3253" w:rsidRDefault="005B05CD" w:rsidP="004E4581">
      <w:pPr>
        <w:ind w:hanging="10"/>
      </w:pPr>
      <w:r>
        <w:rPr>
          <w:sz w:val="20"/>
        </w:rPr>
        <w:t>Kde</w:t>
      </w:r>
    </w:p>
    <w:p w14:paraId="32A7C973" w14:textId="77777777" w:rsidR="008D3253" w:rsidRDefault="005B05CD" w:rsidP="004E4581">
      <w:pPr>
        <w:pStyle w:val="Nadpis3"/>
        <w:spacing w:after="0"/>
      </w:pPr>
      <w:r>
        <w:t xml:space="preserve">PCEE h = DTEE h </w:t>
      </w:r>
      <w:r>
        <w:t>+ G</w:t>
      </w:r>
    </w:p>
    <w:p w14:paraId="69E819A4" w14:textId="77777777" w:rsidR="008D3253" w:rsidRDefault="005B05CD" w:rsidP="004E4581">
      <w:pPr>
        <w:ind w:right="4"/>
      </w:pPr>
      <w:proofErr w:type="spellStart"/>
      <w:r>
        <w:t>Vi</w:t>
      </w:r>
      <w:proofErr w:type="spellEnd"/>
      <w:r>
        <w:t xml:space="preserve"> je interval, za který dochází dle účinné právní úpravy k vyhodnocení odchylek u odběrných míst s průběhovým měřením (základní vyhodnocovací interval). Ke dni uzavření této Smlouvy je tento základní vyhodnocovacím intervalem jedna čtvrthodina.</w:t>
      </w:r>
    </w:p>
    <w:p w14:paraId="082C92C1" w14:textId="77777777" w:rsidR="008D3253" w:rsidRDefault="005B05CD">
      <w:pPr>
        <w:spacing w:after="204"/>
        <w:ind w:right="4"/>
      </w:pPr>
      <w:proofErr w:type="spellStart"/>
      <w:r>
        <w:t>SPh</w:t>
      </w:r>
      <w:proofErr w:type="spellEnd"/>
      <w:r>
        <w:t xml:space="preserve"> je</w:t>
      </w:r>
      <w:r>
        <w:t xml:space="preserve"> pro OM s průběhovým typem měření spotřeby množství elektřiny v </w:t>
      </w:r>
      <w:proofErr w:type="spellStart"/>
      <w:r>
        <w:t>MWh</w:t>
      </w:r>
      <w:proofErr w:type="spellEnd"/>
      <w:r>
        <w:t xml:space="preserve">, které zákazník v daném OM v daný </w:t>
      </w:r>
      <w:proofErr w:type="spellStart"/>
      <w:r>
        <w:t>Vi</w:t>
      </w:r>
      <w:proofErr w:type="spellEnd"/>
      <w:r>
        <w:t xml:space="preserve"> odebral. Pro OM s neprůběhovým typem měření bude pro určení množství elektřiny dodané v daném </w:t>
      </w:r>
      <w:proofErr w:type="spellStart"/>
      <w:r>
        <w:t>Vi</w:t>
      </w:r>
      <w:proofErr w:type="spellEnd"/>
      <w:r>
        <w:t xml:space="preserve"> v </w:t>
      </w:r>
      <w:proofErr w:type="spellStart"/>
      <w:r>
        <w:t>MWh</w:t>
      </w:r>
      <w:proofErr w:type="spellEnd"/>
      <w:r>
        <w:t xml:space="preserve"> použita hodnota z periodického nebo mimořádného </w:t>
      </w:r>
      <w:r>
        <w:t xml:space="preserve">odečtu rozdělena do jednotlivých </w:t>
      </w:r>
      <w:proofErr w:type="spellStart"/>
      <w:r>
        <w:t>Vi</w:t>
      </w:r>
      <w:proofErr w:type="spellEnd"/>
      <w:r>
        <w:t xml:space="preserve"> pomocí příslušného přepočteného typového diagramu dodávky (dále jen „TDD") přiřazeného v souladu s příslušnými právními předpisy — v případě, kdy by T DD neobsahoval rozpad na jednotlivé </w:t>
      </w:r>
      <w:proofErr w:type="spellStart"/>
      <w:r>
        <w:t>Vi</w:t>
      </w:r>
      <w:proofErr w:type="spellEnd"/>
      <w:r>
        <w:t>, byl by T DD pro rozdělení dod</w:t>
      </w:r>
      <w:r>
        <w:t xml:space="preserve">ané elektřiny užit v maximální možné míře a takto získané množství dodávky by následně bylo rovnoměrně rozděleno do příslušných </w:t>
      </w:r>
      <w:proofErr w:type="spellStart"/>
      <w:r>
        <w:t>Vi</w:t>
      </w:r>
      <w:proofErr w:type="spellEnd"/>
      <w:r>
        <w:t>.</w:t>
      </w:r>
    </w:p>
    <w:p w14:paraId="3106B85A" w14:textId="77777777" w:rsidR="008D3253" w:rsidRDefault="005B05CD">
      <w:pPr>
        <w:spacing w:after="218" w:line="223" w:lineRule="auto"/>
        <w:ind w:right="19" w:hanging="5"/>
        <w:jc w:val="both"/>
      </w:pPr>
      <w:proofErr w:type="spellStart"/>
      <w:r>
        <w:t>DTEE_h</w:t>
      </w:r>
      <w:proofErr w:type="spellEnd"/>
      <w:r>
        <w:t xml:space="preserve"> je cena elektřiny denního trhu daného </w:t>
      </w:r>
      <w:proofErr w:type="spellStart"/>
      <w:r>
        <w:t>Vi</w:t>
      </w:r>
      <w:proofErr w:type="spellEnd"/>
      <w:r>
        <w:t xml:space="preserve"> (v CZK/</w:t>
      </w:r>
      <w:proofErr w:type="spellStart"/>
      <w:r>
        <w:t>MWh</w:t>
      </w:r>
      <w:proofErr w:type="spellEnd"/>
      <w:r>
        <w:t>) uveřejněná (v EUR/</w:t>
      </w:r>
      <w:proofErr w:type="spellStart"/>
      <w:r>
        <w:t>MWh</w:t>
      </w:r>
      <w:proofErr w:type="spellEnd"/>
      <w:r>
        <w:t>) na stránkách OT E, a. s. (aktuálně dostup</w:t>
      </w:r>
      <w:r>
        <w:t xml:space="preserve">né na: https://www.ote-cr.cz/kratkodobe-trhy/elektrina/denni-trh) a nebude-li uveřejněna, tak náhradní cena stanovená OT E, a. s. pro daný </w:t>
      </w:r>
      <w:proofErr w:type="spellStart"/>
      <w:r>
        <w:t>Vi</w:t>
      </w:r>
      <w:proofErr w:type="spellEnd"/>
      <w:r>
        <w:t xml:space="preserve">. Nebude-li cena elektřiny denního trhu ani náhradní cena pro daný </w:t>
      </w:r>
      <w:proofErr w:type="spellStart"/>
      <w:r>
        <w:t>Vi</w:t>
      </w:r>
      <w:proofErr w:type="spellEnd"/>
      <w:r>
        <w:t xml:space="preserve"> dostupná, uplatní se pro daný </w:t>
      </w:r>
      <w:proofErr w:type="spellStart"/>
      <w:r>
        <w:t>Vi</w:t>
      </w:r>
      <w:proofErr w:type="spellEnd"/>
      <w:r>
        <w:t xml:space="preserve"> zúčtovací ce</w:t>
      </w:r>
      <w:r>
        <w:t>na odchylky (v CZK/</w:t>
      </w:r>
      <w:proofErr w:type="spellStart"/>
      <w:r>
        <w:t>MWh</w:t>
      </w:r>
      <w:proofErr w:type="spellEnd"/>
      <w:r>
        <w:t>). Převod na CZK/</w:t>
      </w:r>
      <w:proofErr w:type="spellStart"/>
      <w:r>
        <w:t>MWh</w:t>
      </w:r>
      <w:proofErr w:type="spellEnd"/>
      <w:r>
        <w:t xml:space="preserve"> se provede pomocí aktuálního devizového kurzu EUR/CZK platným ke dni uskutečnění dodávky elektřiny a nebude-li tato hodnota z jakéhokoliv důvodu známá, použije se bezprostředně předcházející známá hodnota.</w:t>
      </w:r>
    </w:p>
    <w:p w14:paraId="69DB1E0C" w14:textId="77777777" w:rsidR="008D3253" w:rsidRDefault="005B05CD">
      <w:pPr>
        <w:spacing w:after="159"/>
        <w:ind w:right="4"/>
      </w:pPr>
      <w:r>
        <w:t>G je ma</w:t>
      </w:r>
      <w:r>
        <w:t>nipulační poplatek ve výši 340 CZK/</w:t>
      </w:r>
      <w:proofErr w:type="spellStart"/>
      <w:r>
        <w:t>MWh</w:t>
      </w:r>
      <w:proofErr w:type="spellEnd"/>
      <w:r>
        <w:t>. Výši manipulačního poplatku je Dodavatel oprávněn jednostranně měnit za podmínek a způsobem stanoveným v článku Podmínky sdružených služeb dodávky elektřiny.</w:t>
      </w:r>
    </w:p>
    <w:p w14:paraId="161CABE5" w14:textId="77777777" w:rsidR="008D3253" w:rsidRDefault="005B05CD">
      <w:pPr>
        <w:ind w:right="4"/>
      </w:pPr>
      <w:r>
        <w:t>Zaokrouhlování</w:t>
      </w:r>
    </w:p>
    <w:p w14:paraId="64FB3B7E" w14:textId="77777777" w:rsidR="008D3253" w:rsidRDefault="005B05CD">
      <w:pPr>
        <w:spacing w:after="180"/>
        <w:ind w:right="4"/>
      </w:pPr>
      <w:r>
        <w:t>Jednotková cena za dodávku elektřiny (PC) v</w:t>
      </w:r>
      <w:r>
        <w:t xml:space="preserve"> CZK/</w:t>
      </w:r>
      <w:proofErr w:type="spellStart"/>
      <w:r>
        <w:t>MWh</w:t>
      </w:r>
      <w:proofErr w:type="spellEnd"/>
      <w:r>
        <w:t xml:space="preserve"> se zaokrouhlí na dvě (2) desetinná místa.</w:t>
      </w:r>
    </w:p>
    <w:p w14:paraId="15263FAC" w14:textId="77777777" w:rsidR="008D3253" w:rsidRDefault="005B05CD">
      <w:pPr>
        <w:ind w:right="4"/>
      </w:pPr>
      <w:r>
        <w:t>Společná ustanovení pro celou dobu trvání smlouvy</w:t>
      </w:r>
    </w:p>
    <w:p w14:paraId="7765565D" w14:textId="77777777" w:rsidR="008D3253" w:rsidRDefault="005B05CD">
      <w:pPr>
        <w:spacing w:after="229" w:line="223" w:lineRule="auto"/>
        <w:ind w:right="19" w:hanging="5"/>
        <w:jc w:val="both"/>
      </w:pPr>
      <w:r>
        <w:t>Minimální jednotková cena za dodané množství elektřiny pro jednotlivé OM v jednotlivém fakturačním období, kterou se Zákazník zavazuje Dodavateli na základ</w:t>
      </w:r>
      <w:r>
        <w:t>ě této Smlouvy zaplatit, se sjednává ve výši stanovené součinem 0,25 CZK/</w:t>
      </w:r>
      <w:proofErr w:type="spellStart"/>
      <w:r>
        <w:t>MWh</w:t>
      </w:r>
      <w:proofErr w:type="spellEnd"/>
      <w:r>
        <w:t xml:space="preserve"> a celkového množství skutečně odebrané elektřiny v příslušném fakturačním období (v </w:t>
      </w:r>
      <w:proofErr w:type="spellStart"/>
      <w:r>
        <w:t>MWh</w:t>
      </w:r>
      <w:proofErr w:type="spellEnd"/>
      <w:r>
        <w:t>), a to i v případě, ve kterém by cena za dodávku dle této Smlouvy vycházela nulová nebo záp</w:t>
      </w:r>
      <w:r>
        <w:t>orná.</w:t>
      </w:r>
    </w:p>
    <w:p w14:paraId="05AF266C" w14:textId="77777777" w:rsidR="008D3253" w:rsidRDefault="005B05CD">
      <w:pPr>
        <w:ind w:right="4"/>
      </w:pPr>
      <w:r>
        <w:t>Platební podmínky (Způsob úhrady)</w:t>
      </w:r>
    </w:p>
    <w:p w14:paraId="2B61C1CC" w14:textId="77777777" w:rsidR="008D3253" w:rsidRDefault="005B05CD">
      <w:pPr>
        <w:spacing w:after="183"/>
        <w:ind w:right="4"/>
      </w:pPr>
      <w:r>
        <w:t>Údaje o platebních podmínkách jsou součástí přílohy č. 1.</w:t>
      </w:r>
    </w:p>
    <w:p w14:paraId="60546A4D" w14:textId="77777777" w:rsidR="008D3253" w:rsidRDefault="005B05CD">
      <w:pPr>
        <w:spacing w:after="180"/>
        <w:ind w:hanging="10"/>
      </w:pPr>
      <w:r>
        <w:rPr>
          <w:sz w:val="20"/>
        </w:rPr>
        <w:t>Zvláštní ujednání</w:t>
      </w:r>
    </w:p>
    <w:p w14:paraId="217EF8D8" w14:textId="77777777" w:rsidR="008D3253" w:rsidRDefault="005B05CD">
      <w:pPr>
        <w:spacing w:after="26" w:line="223" w:lineRule="auto"/>
        <w:ind w:right="19" w:hanging="5"/>
        <w:jc w:val="both"/>
      </w:pPr>
      <w:r>
        <w:t xml:space="preserve">Podmínky sdružených služeb dodávky elektřiny </w:t>
      </w:r>
      <w:r>
        <w:rPr>
          <w:noProof/>
        </w:rPr>
        <w:drawing>
          <wp:inline distT="0" distB="0" distL="0" distR="0" wp14:anchorId="20174B65" wp14:editId="38B42E32">
            <wp:extent cx="33530" cy="12193"/>
            <wp:effectExtent l="0" t="0" r="0" b="0"/>
            <wp:docPr id="10907" name="Picture 109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7" name="Picture 1090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530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Smluvní vztahy se dále řídí Obchodními podmínkami dodávky elektřiny pro odběrná místa připojená z hladiny nízkého napětí (dále jen ”OP”), které jsou součástí této Smlouvy.</w:t>
      </w:r>
      <w:r>
        <w:rPr>
          <w:noProof/>
        </w:rPr>
        <w:drawing>
          <wp:inline distT="0" distB="0" distL="0" distR="0" wp14:anchorId="735CF918" wp14:editId="50CD121E">
            <wp:extent cx="3048" cy="3049"/>
            <wp:effectExtent l="0" t="0" r="0" b="0"/>
            <wp:docPr id="10908" name="Picture 10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8" name="Picture 1090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D4D63" w14:textId="77777777" w:rsidR="008D3253" w:rsidRDefault="005B05CD">
      <w:pPr>
        <w:ind w:left="302" w:right="178" w:hanging="288"/>
      </w:pPr>
      <w:r>
        <w:rPr>
          <w:noProof/>
        </w:rPr>
        <w:drawing>
          <wp:inline distT="0" distB="0" distL="0" distR="0" wp14:anchorId="663CE13D" wp14:editId="4899C0EB">
            <wp:extent cx="33530" cy="15240"/>
            <wp:effectExtent l="0" t="0" r="0" b="0"/>
            <wp:docPr id="10909" name="Picture 10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9" name="Picture 1090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53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Dodavatel má právo OP jednostranně kdykoli měnit z důvodů změn legislativy, změn</w:t>
      </w:r>
      <w:r>
        <w:t xml:space="preserve"> podmínek na trhu s energiemi, nutnosti ošetření rizik smluvního vztahu, inovace poskytovaných služeb či za účelem optimalizace právních vztahů se Zákazníkem. Dodavatel je oprávněn kdykoli jednostranně změnit výši manipulačního poplatku G z důvodů změny ce</w:t>
      </w:r>
      <w:r>
        <w:t>n na velkoobchodním trhu s energiemi, změny devizového kurzu, změny cen nakupovaných služeb, legislativních změn a změny rozsahu služeb poskytovaných zákazníkům. Změna OP nebo zvýšení manipulačního poplatku G bude oznámeno Zákazníkovi alespoň jedním z násl</w:t>
      </w:r>
      <w:r>
        <w:t xml:space="preserve">edujících způsobů: zasláním dopisu, e-mailu nebo </w:t>
      </w:r>
      <w:proofErr w:type="spellStart"/>
      <w:r>
        <w:t>sms</w:t>
      </w:r>
      <w:proofErr w:type="spellEnd"/>
      <w:r>
        <w:t>, prostřednictvím zákaznického portálu Dodavatele (Energie24), nebo jiným prokazatelným způsobem, a to nejpozději třicátý den před účinností takové změny. V případě nesouhlasu se změnou OP nebo zvýšením m</w:t>
      </w:r>
      <w:r>
        <w:t>anipulačního poplatku G má Zákazník právo Smlouvu vypovědět do desátého dne přede dnem účinnosti takové změny, a to ke dni bezprostředně předcházejícímu den účinnosti takové změny.</w:t>
      </w:r>
    </w:p>
    <w:p w14:paraId="422E9D6A" w14:textId="77777777" w:rsidR="008D3253" w:rsidRDefault="005B05CD">
      <w:pPr>
        <w:numPr>
          <w:ilvl w:val="0"/>
          <w:numId w:val="2"/>
        </w:numPr>
        <w:ind w:left="312" w:right="4" w:hanging="298"/>
      </w:pPr>
      <w:r>
        <w:t>V případě, že Zákazník neplní platební povinnosti a Dodavatel mu prokazatel</w:t>
      </w:r>
      <w:r>
        <w:t xml:space="preserve">ně zašle písemnou upomínku, je oprávněn v této souvislosti Zákazníkovi vyúčtovat smluvní pokutu ve výši 200 Kč. Zákazník se zavazuje uhradit Dodavateli tuto smluvní pokutu. </w:t>
      </w:r>
      <w:r>
        <w:rPr>
          <w:noProof/>
        </w:rPr>
        <w:drawing>
          <wp:inline distT="0" distB="0" distL="0" distR="0" wp14:anchorId="4D8AD674" wp14:editId="62520D3C">
            <wp:extent cx="36578" cy="15241"/>
            <wp:effectExtent l="0" t="0" r="0" b="0"/>
            <wp:docPr id="10911" name="Picture 10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1" name="Picture 1091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78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Zákazník se zavazuje po dobu účinnosti Smlouvy odebírat elektřinu od Dodavatele a</w:t>
      </w:r>
      <w:r>
        <w:t xml:space="preserve"> dále se zavazuje poskytnout Dodavateli nezbytnou součinnost pro zahájení dodávky, zejména nečinit nic, co by mohlo bránit změně dodavatele, s výjimkou zákonných práv Zákazníka. Za porušení kterékoliv z těchto povinností se Zákazník zavazuje zaplatit za ka</w:t>
      </w:r>
      <w:r>
        <w:t xml:space="preserve">ždé odběrné místo smluvní pokutu, která se skládá z fixní a flexibilní části. Fixní část činí 500 Kč. Flexibilní část se stanoví násobkem částky uvedené pro každé </w:t>
      </w:r>
      <w:r>
        <w:lastRenderedPageBreak/>
        <w:t xml:space="preserve">jednotlivé odběrné místo v příloze </w:t>
      </w:r>
      <w:proofErr w:type="spellStart"/>
      <w:r>
        <w:t>č.l</w:t>
      </w:r>
      <w:proofErr w:type="spellEnd"/>
      <w:r>
        <w:t xml:space="preserve"> — Přehled a technická specifikace odběrných míst a poč</w:t>
      </w:r>
      <w:r>
        <w:t>tu kalendářních měsíců, a to i neúplných, zbývajících do konce doby trvání Smlouvy nebo počtu kalendářních měsíců, a to i neúplných, které by uplynuly do skončení Smlouvy na dobu neurčitou, jako kdyby byla v den porušení povinnosti vypovězena.</w:t>
      </w:r>
    </w:p>
    <w:p w14:paraId="1159CC2B" w14:textId="77777777" w:rsidR="008D3253" w:rsidRDefault="005B05CD">
      <w:pPr>
        <w:numPr>
          <w:ilvl w:val="0"/>
          <w:numId w:val="2"/>
        </w:numPr>
        <w:ind w:left="312" w:right="4" w:hanging="298"/>
      </w:pPr>
      <w:r>
        <w:t xml:space="preserve">Zákazník má </w:t>
      </w:r>
      <w:r>
        <w:t>právo na náhradu za nedodržení kvality dodávky elektřiny a související služby v elektroenergetice a právo na pokutu v případě prodlení s poskytnutím vyúčtování dodávky elektřiny, a to za podmínek stanovených právními předpisy.</w:t>
      </w:r>
    </w:p>
    <w:p w14:paraId="3CFA4D3C" w14:textId="77777777" w:rsidR="008D3253" w:rsidRDefault="005B05CD" w:rsidP="004E4581">
      <w:pPr>
        <w:ind w:left="307" w:right="4" w:hanging="293"/>
      </w:pPr>
      <w:r>
        <w:rPr>
          <w:noProof/>
        </w:rPr>
        <w:drawing>
          <wp:inline distT="0" distB="0" distL="0" distR="0" wp14:anchorId="00D2A29F" wp14:editId="2BB56FDA">
            <wp:extent cx="33530" cy="15241"/>
            <wp:effectExtent l="0" t="0" r="0" b="0"/>
            <wp:docPr id="10913" name="Picture 10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3" name="Picture 1091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530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Zákazník, je-li povinným su</w:t>
      </w:r>
      <w:r>
        <w:t xml:space="preserve">bjektem dle zákona č. 340/2015 Sb., zákon o registru smluv, v platném znění, se zavazuje v souladu s tímto zákonem uveřejnit Smlouvu prostřednictvím registru smluv, a to nejpozději do 30 dnů od data jejího uzavření. </w:t>
      </w:r>
      <w:proofErr w:type="spellStart"/>
      <w:r>
        <w:t>Nedojdeli</w:t>
      </w:r>
      <w:proofErr w:type="spellEnd"/>
      <w:r>
        <w:t xml:space="preserve"> k uveřejnění Smlouvy dle předc</w:t>
      </w:r>
      <w:r>
        <w:t>hozí věty, je Dodavatel oprávněn Smlouvu uveřejnit prostřednictvím registru smluv sám, a to včetně veškerých příloh. Smluvní strany souhlasně berou na vědomí, že uveřejněním této Smlouvy prostřednictvím registru smluv není porušena zákonná povinnost mlčenl</w:t>
      </w:r>
      <w:r>
        <w:t>ivosti jedné či obou smluvních stran. Smluvní strany se dohodly, že jakékoliv úpravy</w:t>
      </w:r>
    </w:p>
    <w:p w14:paraId="6971D8CD" w14:textId="77777777" w:rsidR="008D3253" w:rsidRDefault="005B05CD">
      <w:pPr>
        <w:pStyle w:val="Nadpis1"/>
        <w:ind w:right="23"/>
      </w:pPr>
      <w:r>
        <w:t>| 3</w:t>
      </w:r>
    </w:p>
    <w:p w14:paraId="4F9720CA" w14:textId="77777777" w:rsidR="008D3253" w:rsidRDefault="005B05CD">
      <w:pPr>
        <w:spacing w:after="178"/>
        <w:ind w:left="322" w:right="4"/>
      </w:pPr>
      <w:r>
        <w:t>v uveřejnění smlouvy či metadat Smlouvy dle zákona o registru smluv bude provádět smluvní strana, která Smlouvu prostřednictvím registru smluv uveřejnila.</w:t>
      </w:r>
    </w:p>
    <w:p w14:paraId="73D1C9EF" w14:textId="77777777" w:rsidR="008D3253" w:rsidRDefault="005B05CD">
      <w:pPr>
        <w:ind w:right="4"/>
      </w:pPr>
      <w:r>
        <w:t xml:space="preserve">Závěrečná </w:t>
      </w:r>
      <w:r>
        <w:t>ustanovení</w:t>
      </w:r>
    </w:p>
    <w:p w14:paraId="523CCCE2" w14:textId="77777777" w:rsidR="008D3253" w:rsidRDefault="005B05CD">
      <w:pPr>
        <w:ind w:right="4"/>
      </w:pPr>
      <w:r>
        <w:t>Osoba oprávněná jednat za Zákazníka bere na vědomí, Že její identifikační a kontaktní údaje bude Dodavatel zpracovávat na základě oprávněného zájmu pro účely přípravy, uzavření a plnění Smlouvy se zákazníkem, ochrany právních nároků a provozních</w:t>
      </w:r>
      <w:r>
        <w:t xml:space="preserve"> potřeb. Proti takovému zpracování má tato osoba právo kdykoliv podat námitku. Osoba oprávněná jednat za Zákazníka právnickou osobu a Zákazník podnikající fyzická osoba se zavazuje informovat kontaktní osoby o zpracování jejich osobních údajů. Bližší infor</w:t>
      </w:r>
      <w:r>
        <w:t>mace o zpracování osobních údajů jednotlivých osob, včetně způsobu podání námitky, jsou uvedeny na webové stránce www.eon.cz, v sekci Ochrana osobních údajů, v části týkající se jednotlivých produktů.</w:t>
      </w:r>
    </w:p>
    <w:p w14:paraId="018CEC12" w14:textId="77777777" w:rsidR="008D3253" w:rsidRDefault="005B05CD">
      <w:pPr>
        <w:ind w:right="4"/>
      </w:pPr>
      <w:r>
        <w:t>Smluvní strany se dohodly, že Smlouvu lze uzavřít pouze</w:t>
      </w:r>
      <w:r>
        <w:t xml:space="preserve"> v listinné podobě. Zákazník prohlašuje, že se s obsahem a významem Smlouvy, OP a ceníku seznámil v dostatečném předstihu a rozumí jeho obsahu.</w:t>
      </w:r>
    </w:p>
    <w:p w14:paraId="16492C95" w14:textId="77777777" w:rsidR="008D3253" w:rsidRDefault="005B05CD">
      <w:pPr>
        <w:ind w:right="4"/>
      </w:pPr>
      <w:r>
        <w:t>Smluvní strany se dohodly, že Dodavatel nebude zajišťovat službu distribuční soustavy pro odběrná místa, která j</w:t>
      </w:r>
      <w:r>
        <w:t>sou v příloze Č. 1</w:t>
      </w:r>
    </w:p>
    <w:p w14:paraId="104012E5" w14:textId="77777777" w:rsidR="008D3253" w:rsidRDefault="005B05CD">
      <w:pPr>
        <w:spacing w:after="26" w:line="223" w:lineRule="auto"/>
        <w:ind w:right="19" w:hanging="5"/>
        <w:jc w:val="both"/>
      </w:pPr>
      <w:r>
        <w:t>— Přehled a technická specifikace odběrných míst označená příznakem „pouze dodávka", ale bude pro tato odběrná místa zajištěna Dodavatelem pouze dodávka elektřiny. Ve vztahu k těmto odběrným místům se neuplatní ustanovení Smlouvy nebo je</w:t>
      </w:r>
      <w:r>
        <w:t>jich příslušné části vztahující se k zajištění služby distribuční soustavy pro tato odběrná místa; zejména, nikoliv však výlučně článek Předmět a obsah Smlouvy.</w:t>
      </w:r>
    </w:p>
    <w:p w14:paraId="0521941A" w14:textId="77777777" w:rsidR="008D3253" w:rsidRDefault="005B05CD">
      <w:pPr>
        <w:ind w:right="4"/>
      </w:pPr>
      <w:r>
        <w:t>Ujednáním smluvních pokut není dotčen nárok Dodavatele na náhradu majetkové újmy, nezakazuje-li</w:t>
      </w:r>
      <w:r>
        <w:t xml:space="preserve"> to zákon.</w:t>
      </w:r>
    </w:p>
    <w:p w14:paraId="743B6E6A" w14:textId="77777777" w:rsidR="008D3253" w:rsidRDefault="005B05CD" w:rsidP="004E4581">
      <w:pPr>
        <w:spacing w:after="120"/>
        <w:ind w:right="4"/>
      </w:pPr>
      <w:r>
        <w:t>Vlivem objektivních okolností může dojít k navýšení nákladů Dodavatele na předmět plnění podle Smlouvy kvůli legislativním nebo cenově-regulačním změnám zavedeným po uzavření této Smlouvy (např. zavedení nových či zvýšení stávajících daní, popla</w:t>
      </w:r>
      <w:r>
        <w:t>tků, cel, souvisejících s nákupem, dodávkou, dopravou elektřiny). Dodavatel může promítnout zvýšené náklady do ceny elektřiny bez nutnosti uzavření dodatku k této Smlouvě tak, že Dodavatel navýšení ceny písemně oznámí Zákazníkovi, a to včetně účinnosti tak</w:t>
      </w:r>
      <w:r>
        <w:t>ové změny (která nebude předcházet účinnosti změny nákladů Dodavatele na předmět plnění podle této Smlouvy), písemného odůvodnění a vyčíslení.</w:t>
      </w:r>
    </w:p>
    <w:p w14:paraId="2707CD36" w14:textId="77777777" w:rsidR="008D3253" w:rsidRDefault="005B05CD">
      <w:pPr>
        <w:tabs>
          <w:tab w:val="center" w:pos="5508"/>
        </w:tabs>
        <w:spacing w:after="39"/>
        <w:ind w:left="0"/>
      </w:pPr>
      <w:r>
        <w:rPr>
          <w:sz w:val="20"/>
        </w:rPr>
        <w:t>Za Dodavatele</w:t>
      </w:r>
      <w:r>
        <w:rPr>
          <w:sz w:val="20"/>
        </w:rPr>
        <w:tab/>
        <w:t>Za Zákazníka</w:t>
      </w:r>
    </w:p>
    <w:p w14:paraId="715853AD" w14:textId="77777777" w:rsidR="008D3253" w:rsidRDefault="005B05CD">
      <w:pPr>
        <w:tabs>
          <w:tab w:val="center" w:pos="6605"/>
        </w:tabs>
        <w:ind w:left="0"/>
      </w:pPr>
      <w:r>
        <w:t xml:space="preserve">E.ON </w:t>
      </w:r>
      <w:proofErr w:type="spellStart"/>
      <w:r>
        <w:t>Enerqie</w:t>
      </w:r>
      <w:proofErr w:type="spellEnd"/>
      <w:r>
        <w:t>, a.s.</w:t>
      </w:r>
      <w:r>
        <w:tab/>
        <w:t>Dopravní společnost Zlín-Otrokovice, s.r.o.</w:t>
      </w:r>
    </w:p>
    <w:p w14:paraId="648F037D" w14:textId="77777777" w:rsidR="008D3253" w:rsidRDefault="005B05CD">
      <w:pPr>
        <w:ind w:right="4"/>
      </w:pPr>
      <w:r>
        <w:rPr>
          <w:noProof/>
        </w:rPr>
        <w:drawing>
          <wp:inline distT="0" distB="0" distL="0" distR="0" wp14:anchorId="6A90B99D" wp14:editId="4D2DA2F3">
            <wp:extent cx="6038494" cy="1975198"/>
            <wp:effectExtent l="0" t="0" r="0" b="0"/>
            <wp:docPr id="24594" name="Picture 24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94" name="Picture 2459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38494" cy="197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Místo: České </w:t>
      </w:r>
      <w:r>
        <w:t>Budějovice</w:t>
      </w:r>
    </w:p>
    <w:p w14:paraId="5D85C520" w14:textId="77777777" w:rsidR="008D3253" w:rsidRDefault="005B05CD">
      <w:pPr>
        <w:ind w:hanging="10"/>
      </w:pPr>
      <w:r>
        <w:rPr>
          <w:sz w:val="20"/>
        </w:rPr>
        <w:t xml:space="preserve">Jméno a příjmení: Jaromír </w:t>
      </w:r>
      <w:proofErr w:type="spellStart"/>
      <w:r>
        <w:rPr>
          <w:sz w:val="20"/>
        </w:rPr>
        <w:t>Skřipský</w:t>
      </w:r>
      <w:proofErr w:type="spellEnd"/>
    </w:p>
    <w:p w14:paraId="6FE839FC" w14:textId="77777777" w:rsidR="008D3253" w:rsidRDefault="005B05CD">
      <w:pPr>
        <w:ind w:right="4"/>
      </w:pPr>
      <w:r>
        <w:t xml:space="preserve">Funkce: </w:t>
      </w:r>
      <w:proofErr w:type="spellStart"/>
      <w:r>
        <w:t>Head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B2B Portfolio Management</w:t>
      </w:r>
    </w:p>
    <w:p w14:paraId="3B055ED3" w14:textId="77777777" w:rsidR="008D3253" w:rsidRDefault="005B05CD">
      <w:pPr>
        <w:spacing w:after="254"/>
        <w:ind w:left="29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AD11D71" wp14:editId="736357BB">
                <wp:extent cx="2862264" cy="9144"/>
                <wp:effectExtent l="0" t="0" r="0" b="0"/>
                <wp:docPr id="24599" name="Group 24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2264" cy="9144"/>
                          <a:chOff x="0" y="0"/>
                          <a:chExt cx="2862264" cy="9144"/>
                        </a:xfrm>
                      </wpg:grpSpPr>
                      <wps:wsp>
                        <wps:cNvPr id="24598" name="Shape 24598"/>
                        <wps:cNvSpPr/>
                        <wps:spPr>
                          <a:xfrm>
                            <a:off x="0" y="0"/>
                            <a:ext cx="2862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2264" h="9144">
                                <a:moveTo>
                                  <a:pt x="0" y="4573"/>
                                </a:moveTo>
                                <a:lnTo>
                                  <a:pt x="2862264" y="4573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4599" style="width:225.375pt;height:0.720032pt;mso-position-horizontal-relative:char;mso-position-vertical-relative:line" coordsize="28622,91">
                <v:shape id="Shape 24598" style="position:absolute;width:28622;height:91;left:0;top:0;" coordsize="2862264,9144" path="m0,4573l2862264,4573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8139C3E" w14:textId="77777777" w:rsidR="008D3253" w:rsidRDefault="005B05CD" w:rsidP="004E4581">
      <w:pPr>
        <w:spacing w:after="600"/>
        <w:ind w:left="29"/>
      </w:pPr>
      <w:r>
        <w:rPr>
          <w:noProof/>
        </w:rPr>
        <w:drawing>
          <wp:inline distT="0" distB="0" distL="0" distR="0" wp14:anchorId="45299F7D" wp14:editId="68D8504E">
            <wp:extent cx="2859216" cy="679737"/>
            <wp:effectExtent l="0" t="0" r="0" b="0"/>
            <wp:docPr id="24596" name="Picture 24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96" name="Picture 2459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59216" cy="679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DDD54" w14:textId="77777777" w:rsidR="008D3253" w:rsidRDefault="005B05CD">
      <w:pPr>
        <w:ind w:left="0" w:right="19"/>
        <w:jc w:val="right"/>
      </w:pPr>
      <w:r>
        <w:rPr>
          <w:sz w:val="16"/>
        </w:rPr>
        <w:t>1 3</w:t>
      </w:r>
    </w:p>
    <w:sectPr w:rsidR="008D3253">
      <w:footerReference w:type="even" r:id="rId17"/>
      <w:footerReference w:type="default" r:id="rId18"/>
      <w:footerReference w:type="first" r:id="rId19"/>
      <w:pgSz w:w="11900" w:h="16820"/>
      <w:pgMar w:top="763" w:right="821" w:bottom="322" w:left="1320" w:header="708" w:footer="3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54804" w14:textId="77777777" w:rsidR="005B05CD" w:rsidRDefault="005B05CD">
      <w:pPr>
        <w:spacing w:line="240" w:lineRule="auto"/>
      </w:pPr>
      <w:r>
        <w:separator/>
      </w:r>
    </w:p>
  </w:endnote>
  <w:endnote w:type="continuationSeparator" w:id="0">
    <w:p w14:paraId="1B7F18AD" w14:textId="77777777" w:rsidR="005B05CD" w:rsidRDefault="005B0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17971" w14:textId="77777777" w:rsidR="008D3253" w:rsidRDefault="005B05CD">
    <w:pPr>
      <w:tabs>
        <w:tab w:val="center" w:pos="5837"/>
        <w:tab w:val="center" w:pos="7484"/>
        <w:tab w:val="center" w:pos="9269"/>
      </w:tabs>
      <w:ind w:left="0"/>
    </w:pPr>
    <w:r>
      <w:rPr>
        <w:sz w:val="22"/>
      </w:rPr>
      <w:tab/>
    </w:r>
    <w:r>
      <w:t>R12560</w:t>
    </w:r>
    <w:r>
      <w:tab/>
      <w:t xml:space="preserve">číslo </w:t>
    </w:r>
    <w:r>
      <w:rPr>
        <w:sz w:val="16"/>
      </w:rPr>
      <w:t xml:space="preserve">Smlouvy: </w:t>
    </w:r>
    <w:r>
      <w:t>0300005225 ROS</w:t>
    </w:r>
    <w:r>
      <w:tab/>
    </w:r>
    <w:r>
      <w:rPr>
        <w:sz w:val="16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396E7" w14:textId="77777777" w:rsidR="008D3253" w:rsidRDefault="005B05CD">
    <w:pPr>
      <w:tabs>
        <w:tab w:val="center" w:pos="5837"/>
        <w:tab w:val="center" w:pos="7484"/>
        <w:tab w:val="center" w:pos="9269"/>
      </w:tabs>
      <w:ind w:left="0"/>
    </w:pPr>
    <w:r>
      <w:rPr>
        <w:sz w:val="22"/>
      </w:rPr>
      <w:tab/>
    </w:r>
    <w:r>
      <w:t>R12560</w:t>
    </w:r>
    <w:r>
      <w:tab/>
      <w:t xml:space="preserve">číslo </w:t>
    </w:r>
    <w:r>
      <w:rPr>
        <w:sz w:val="16"/>
      </w:rPr>
      <w:t>Sml</w:t>
    </w:r>
    <w:r>
      <w:rPr>
        <w:sz w:val="16"/>
      </w:rPr>
      <w:t xml:space="preserve">ouvy: </w:t>
    </w:r>
    <w:r>
      <w:t>0300005225 ROS</w:t>
    </w:r>
    <w:r>
      <w:tab/>
    </w:r>
    <w:r>
      <w:rPr>
        <w:sz w:val="16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36399" w14:textId="77777777" w:rsidR="008D3253" w:rsidRDefault="005B05CD">
    <w:pPr>
      <w:tabs>
        <w:tab w:val="center" w:pos="5837"/>
        <w:tab w:val="center" w:pos="7484"/>
        <w:tab w:val="center" w:pos="9269"/>
      </w:tabs>
      <w:ind w:left="0"/>
    </w:pPr>
    <w:r>
      <w:rPr>
        <w:sz w:val="22"/>
      </w:rPr>
      <w:tab/>
    </w:r>
    <w:r>
      <w:t>R12560</w:t>
    </w:r>
    <w:r>
      <w:tab/>
      <w:t xml:space="preserve">číslo </w:t>
    </w:r>
    <w:r>
      <w:rPr>
        <w:sz w:val="16"/>
      </w:rPr>
      <w:t xml:space="preserve">Smlouvy: </w:t>
    </w:r>
    <w:r>
      <w:t>0300005225 ROS</w:t>
    </w:r>
    <w:r>
      <w:tab/>
    </w:r>
    <w:r>
      <w:rPr>
        <w:sz w:val="16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13C5F" w14:textId="77777777" w:rsidR="005B05CD" w:rsidRDefault="005B05CD">
      <w:pPr>
        <w:spacing w:line="240" w:lineRule="auto"/>
      </w:pPr>
      <w:r>
        <w:separator/>
      </w:r>
    </w:p>
  </w:footnote>
  <w:footnote w:type="continuationSeparator" w:id="0">
    <w:p w14:paraId="1A455F3D" w14:textId="77777777" w:rsidR="005B05CD" w:rsidRDefault="005B05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.75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415813D3"/>
    <w:multiLevelType w:val="hybridMultilevel"/>
    <w:tmpl w:val="5CE63ADE"/>
    <w:lvl w:ilvl="0" w:tplc="B0484536">
      <w:start w:val="1"/>
      <w:numFmt w:val="lowerLetter"/>
      <w:lvlText w:val="%1)"/>
      <w:lvlJc w:val="left"/>
      <w:pPr>
        <w:ind w:left="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6E50B8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AE2A362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D92D2A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8CD762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ECCB2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770C45E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4F6A03A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9A44D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D50800"/>
    <w:multiLevelType w:val="hybridMultilevel"/>
    <w:tmpl w:val="55A62DD0"/>
    <w:lvl w:ilvl="0" w:tplc="EECC9342">
      <w:start w:val="1"/>
      <w:numFmt w:val="bullet"/>
      <w:lvlText w:val="•"/>
      <w:lvlPicBulletId w:val="0"/>
      <w:lvlJc w:val="left"/>
      <w:pPr>
        <w:ind w:left="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9247C8">
      <w:start w:val="1"/>
      <w:numFmt w:val="bullet"/>
      <w:lvlText w:val="o"/>
      <w:lvlJc w:val="left"/>
      <w:pPr>
        <w:ind w:left="1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42B72">
      <w:start w:val="1"/>
      <w:numFmt w:val="bullet"/>
      <w:lvlText w:val="▪"/>
      <w:lvlJc w:val="left"/>
      <w:pPr>
        <w:ind w:left="2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5CD5A6">
      <w:start w:val="1"/>
      <w:numFmt w:val="bullet"/>
      <w:lvlText w:val="•"/>
      <w:lvlJc w:val="left"/>
      <w:pPr>
        <w:ind w:left="2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8A8EEA">
      <w:start w:val="1"/>
      <w:numFmt w:val="bullet"/>
      <w:lvlText w:val="o"/>
      <w:lvlJc w:val="left"/>
      <w:pPr>
        <w:ind w:left="3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3674CC">
      <w:start w:val="1"/>
      <w:numFmt w:val="bullet"/>
      <w:lvlText w:val="▪"/>
      <w:lvlJc w:val="left"/>
      <w:pPr>
        <w:ind w:left="4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DC9D14">
      <w:start w:val="1"/>
      <w:numFmt w:val="bullet"/>
      <w:lvlText w:val="•"/>
      <w:lvlJc w:val="left"/>
      <w:pPr>
        <w:ind w:left="4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B67076">
      <w:start w:val="1"/>
      <w:numFmt w:val="bullet"/>
      <w:lvlText w:val="o"/>
      <w:lvlJc w:val="left"/>
      <w:pPr>
        <w:ind w:left="5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54D102">
      <w:start w:val="1"/>
      <w:numFmt w:val="bullet"/>
      <w:lvlText w:val="▪"/>
      <w:lvlJc w:val="left"/>
      <w:pPr>
        <w:ind w:left="6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253"/>
    <w:rsid w:val="003334F3"/>
    <w:rsid w:val="00490DF2"/>
    <w:rsid w:val="004E4581"/>
    <w:rsid w:val="005B05CD"/>
    <w:rsid w:val="00725494"/>
    <w:rsid w:val="007733D0"/>
    <w:rsid w:val="008D3253"/>
    <w:rsid w:val="008E1762"/>
    <w:rsid w:val="008F2544"/>
    <w:rsid w:val="009B2AB5"/>
    <w:rsid w:val="00D170DC"/>
    <w:rsid w:val="00DC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9B4E4"/>
  <w15:docId w15:val="{1F9EAB1D-7E48-42E1-8614-C7DC812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59" w:lineRule="auto"/>
      <w:ind w:left="14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66" w:line="259" w:lineRule="auto"/>
      <w:ind w:left="10" w:right="24" w:hanging="10"/>
      <w:jc w:val="right"/>
      <w:outlineLvl w:val="0"/>
    </w:pPr>
    <w:rPr>
      <w:rFonts w:ascii="Calibri" w:eastAsia="Calibri" w:hAnsi="Calibri" w:cs="Calibri"/>
      <w:color w:val="000000"/>
      <w:sz w:val="3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ind w:left="2640" w:right="3360"/>
      <w:outlineLvl w:val="1"/>
    </w:pPr>
    <w:rPr>
      <w:rFonts w:ascii="Calibri" w:eastAsia="Calibri" w:hAnsi="Calibri" w:cs="Calibri"/>
      <w:color w:val="000000"/>
      <w:sz w:val="22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217" w:line="259" w:lineRule="auto"/>
      <w:ind w:right="43"/>
      <w:jc w:val="center"/>
      <w:outlineLvl w:val="2"/>
    </w:pPr>
    <w:rPr>
      <w:rFonts w:ascii="Calibri" w:eastAsia="Calibri" w:hAnsi="Calibri" w:cs="Calibri"/>
      <w:color w:val="000000"/>
      <w:sz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14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5" Type="http://schemas.openxmlformats.org/officeDocument/2006/relationships/footnotes" Target="footnote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1696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Tkac</dc:creator>
  <cp:keywords/>
  <cp:lastModifiedBy>Simona Machalkova</cp:lastModifiedBy>
  <cp:revision>2</cp:revision>
  <dcterms:created xsi:type="dcterms:W3CDTF">2025-05-16T09:35:00Z</dcterms:created>
  <dcterms:modified xsi:type="dcterms:W3CDTF">2025-05-16T09:35:00Z</dcterms:modified>
</cp:coreProperties>
</file>