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7241100464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spacing w:before="1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12"/>
        <w:jc w:val="left"/>
      </w:pPr>
      <w:r>
        <w:rPr/>
        <w:t>NEONLAK</w:t>
      </w:r>
      <w:r>
        <w:rPr>
          <w:spacing w:val="-5"/>
        </w:rPr>
        <w:t> </w:t>
      </w:r>
      <w:r>
        <w:rPr/>
        <w:t>spol.</w:t>
      </w:r>
      <w:r>
        <w:rPr>
          <w:spacing w:val="-5"/>
        </w:rPr>
        <w:t> </w:t>
      </w:r>
      <w:r>
        <w:rPr/>
        <w:t>s</w:t>
      </w:r>
      <w:r>
        <w:rPr>
          <w:spacing w:val="-4"/>
        </w:rPr>
        <w:t> r.o.</w:t>
      </w:r>
    </w:p>
    <w:p>
      <w:pPr>
        <w:pStyle w:val="BodyText"/>
        <w:spacing w:before="1"/>
        <w:ind w:left="112"/>
      </w:pPr>
      <w:r>
        <w:rPr/>
        <w:t>obchodní</w:t>
      </w:r>
      <w:r>
        <w:rPr>
          <w:spacing w:val="-8"/>
        </w:rPr>
        <w:t> </w:t>
      </w:r>
      <w:r>
        <w:rPr/>
        <w:t>společnost</w:t>
      </w:r>
      <w:r>
        <w:rPr>
          <w:spacing w:val="-7"/>
        </w:rPr>
        <w:t> </w:t>
      </w:r>
      <w:r>
        <w:rPr/>
        <w:t>zapsaná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/>
        <w:t>obchodním</w:t>
      </w:r>
      <w:r>
        <w:rPr>
          <w:spacing w:val="-6"/>
        </w:rPr>
        <w:t> </w:t>
      </w:r>
      <w:r>
        <w:rPr/>
        <w:t>rejstříku</w:t>
      </w:r>
      <w:r>
        <w:rPr>
          <w:spacing w:val="-6"/>
        </w:rPr>
        <w:t> </w:t>
      </w:r>
      <w:r>
        <w:rPr/>
        <w:t>vedeném</w:t>
      </w:r>
      <w:r>
        <w:rPr>
          <w:spacing w:val="-1"/>
        </w:rPr>
        <w:t> </w:t>
      </w:r>
      <w:r>
        <w:rPr/>
        <w:t>Městským</w:t>
      </w:r>
      <w:r>
        <w:rPr>
          <w:spacing w:val="-6"/>
        </w:rPr>
        <w:t> </w:t>
      </w:r>
      <w:r>
        <w:rPr/>
        <w:t>soudem</w:t>
      </w:r>
      <w:r>
        <w:rPr>
          <w:spacing w:val="-5"/>
        </w:rPr>
        <w:t> </w:t>
      </w:r>
      <w:r>
        <w:rPr/>
        <w:t>v</w:t>
      </w:r>
      <w:r>
        <w:rPr>
          <w:spacing w:val="-6"/>
        </w:rPr>
        <w:t> </w:t>
      </w:r>
      <w:r>
        <w:rPr/>
        <w:t>Praze,</w:t>
      </w:r>
      <w:r>
        <w:rPr>
          <w:spacing w:val="-7"/>
        </w:rPr>
        <w:t> </w:t>
      </w:r>
      <w:r>
        <w:rPr/>
        <w:t>oddíl</w:t>
      </w:r>
      <w:r>
        <w:rPr>
          <w:spacing w:val="-6"/>
        </w:rPr>
        <w:t> </w:t>
      </w:r>
      <w:r>
        <w:rPr/>
        <w:t>C,</w:t>
      </w:r>
      <w:r>
        <w:rPr>
          <w:spacing w:val="-7"/>
        </w:rPr>
        <w:t> </w:t>
      </w:r>
      <w:r>
        <w:rPr/>
        <w:t>vložka</w:t>
      </w:r>
      <w:r>
        <w:rPr>
          <w:spacing w:val="-7"/>
        </w:rPr>
        <w:t> </w:t>
      </w:r>
      <w:r>
        <w:rPr>
          <w:spacing w:val="-4"/>
        </w:rPr>
        <w:t>45639</w:t>
      </w:r>
    </w:p>
    <w:p>
      <w:pPr>
        <w:pStyle w:val="BodyText"/>
        <w:tabs>
          <w:tab w:pos="2993" w:val="left" w:leader="none"/>
        </w:tabs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Ptácká</w:t>
      </w:r>
      <w:r>
        <w:rPr>
          <w:spacing w:val="-7"/>
        </w:rPr>
        <w:t> </w:t>
      </w:r>
      <w:r>
        <w:rPr/>
        <w:t>297,</w:t>
      </w:r>
      <w:r>
        <w:rPr>
          <w:spacing w:val="-6"/>
        </w:rPr>
        <w:t> </w:t>
      </w:r>
      <w:r>
        <w:rPr/>
        <w:t>Mladá</w:t>
      </w:r>
      <w:r>
        <w:rPr>
          <w:spacing w:val="-6"/>
        </w:rPr>
        <w:t> </w:t>
      </w:r>
      <w:r>
        <w:rPr/>
        <w:t>Boleslav</w:t>
      </w:r>
      <w:r>
        <w:rPr>
          <w:spacing w:val="-3"/>
        </w:rPr>
        <w:t> </w:t>
      </w:r>
      <w:r>
        <w:rPr/>
        <w:t>IV,</w:t>
      </w:r>
      <w:r>
        <w:rPr>
          <w:spacing w:val="-6"/>
        </w:rPr>
        <w:t> </w:t>
      </w:r>
      <w:r>
        <w:rPr/>
        <w:t>293</w:t>
      </w:r>
      <w:r>
        <w:rPr>
          <w:spacing w:val="-1"/>
        </w:rPr>
        <w:t> </w:t>
      </w:r>
      <w:r>
        <w:rPr/>
        <w:t>01</w:t>
      </w:r>
      <w:r>
        <w:rPr>
          <w:spacing w:val="-6"/>
        </w:rPr>
        <w:t> </w:t>
      </w:r>
      <w:r>
        <w:rPr/>
        <w:t>Mladá</w:t>
      </w:r>
      <w:r>
        <w:rPr>
          <w:spacing w:val="-6"/>
        </w:rPr>
        <w:t> </w:t>
      </w:r>
      <w:r>
        <w:rPr>
          <w:spacing w:val="-2"/>
        </w:rPr>
        <w:t>Boleslav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25053426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2"/>
        </w:rPr>
        <w:t>zastoupená:</w:t>
      </w:r>
      <w:r>
        <w:rPr/>
        <w:tab/>
        <w:t>Petrem</w:t>
      </w:r>
      <w:r>
        <w:rPr>
          <w:spacing w:val="-1"/>
        </w:rPr>
        <w:t> </w:t>
      </w:r>
      <w:r>
        <w:rPr/>
        <w:t>Š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d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l k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jednatelem</w:t>
      </w:r>
    </w:p>
    <w:p>
      <w:pPr>
        <w:pStyle w:val="BodyText"/>
        <w:tabs>
          <w:tab w:pos="2993" w:val="left" w:leader="none"/>
        </w:tabs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Československá</w:t>
      </w:r>
      <w:r>
        <w:rPr>
          <w:spacing w:val="-12"/>
        </w:rPr>
        <w:t> </w:t>
      </w:r>
      <w:r>
        <w:rPr/>
        <w:t>obchodní</w:t>
      </w:r>
      <w:r>
        <w:rPr>
          <w:spacing w:val="-12"/>
        </w:rPr>
        <w:t> </w:t>
      </w:r>
      <w:r>
        <w:rPr/>
        <w:t>banka,</w:t>
      </w:r>
      <w:r>
        <w:rPr>
          <w:spacing w:val="-9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217076233/0300</w:t>
      </w:r>
    </w:p>
    <w:p>
      <w:pPr>
        <w:pStyle w:val="BodyText"/>
        <w:spacing w:line="265" w:lineRule="exac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9"/>
          <w:sz w:val="20"/>
        </w:rPr>
        <w:t> </w:t>
      </w:r>
      <w:r>
        <w:rPr>
          <w:sz w:val="20"/>
        </w:rPr>
        <w:t>České</w:t>
      </w:r>
      <w:r>
        <w:rPr>
          <w:spacing w:val="-10"/>
          <w:sz w:val="20"/>
        </w:rPr>
        <w:t> </w:t>
      </w:r>
      <w:r>
        <w:rPr>
          <w:sz w:val="20"/>
        </w:rPr>
        <w:t>republiky</w:t>
      </w:r>
      <w:r>
        <w:rPr>
          <w:spacing w:val="-9"/>
          <w:sz w:val="20"/>
        </w:rPr>
        <w:t> </w:t>
      </w:r>
      <w:r>
        <w:rPr>
          <w:sz w:val="20"/>
        </w:rPr>
        <w:t>(dále</w:t>
      </w:r>
      <w:r>
        <w:rPr>
          <w:spacing w:val="-10"/>
          <w:sz w:val="20"/>
        </w:rPr>
        <w:t> </w:t>
      </w:r>
      <w:r>
        <w:rPr>
          <w:sz w:val="20"/>
        </w:rPr>
        <w:t>jen</w:t>
      </w:r>
      <w:r>
        <w:rPr>
          <w:spacing w:val="-9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7241100464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24. 3. 2025 v</w:t>
      </w:r>
      <w:r>
        <w:rPr>
          <w:spacing w:val="-1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689"/>
        <w:jc w:val="left"/>
      </w:pPr>
      <w:r>
        <w:rPr/>
        <w:t>„Instalace</w:t>
      </w:r>
      <w:r>
        <w:rPr>
          <w:spacing w:val="-7"/>
        </w:rPr>
        <w:t> </w:t>
      </w:r>
      <w:r>
        <w:rPr/>
        <w:t>FVE</w:t>
      </w:r>
      <w:r>
        <w:rPr>
          <w:spacing w:val="-7"/>
        </w:rPr>
        <w:t> </w:t>
      </w:r>
      <w:r>
        <w:rPr/>
        <w:t>ve</w:t>
      </w:r>
      <w:r>
        <w:rPr>
          <w:spacing w:val="-7"/>
        </w:rPr>
        <w:t> </w:t>
      </w:r>
      <w:r>
        <w:rPr/>
        <w:t>společnosti</w:t>
      </w:r>
      <w:r>
        <w:rPr>
          <w:spacing w:val="-7"/>
        </w:rPr>
        <w:t> </w:t>
      </w:r>
      <w:r>
        <w:rPr/>
        <w:t>NEONLAK</w:t>
      </w:r>
      <w:r>
        <w:rPr>
          <w:spacing w:val="-7"/>
        </w:rPr>
        <w:t> </w:t>
      </w:r>
      <w:r>
        <w:rPr/>
        <w:t>spol.</w:t>
      </w:r>
      <w:r>
        <w:rPr>
          <w:spacing w:val="-6"/>
        </w:rPr>
        <w:t> </w:t>
      </w:r>
      <w:r>
        <w:rPr/>
        <w:t>s</w:t>
      </w:r>
      <w:r>
        <w:rPr>
          <w:spacing w:val="-6"/>
        </w:rPr>
        <w:t> </w:t>
      </w:r>
      <w:r>
        <w:rPr>
          <w:spacing w:val="-4"/>
        </w:rPr>
        <w:t>r.o.“</w:t>
      </w:r>
    </w:p>
    <w:p>
      <w:pPr>
        <w:pStyle w:val="BodyText"/>
        <w:spacing w:before="121"/>
        <w:ind w:left="396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" w:after="0"/>
        <w:ind w:left="396" w:right="111" w:hanging="28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 se v souladu</w:t>
      </w:r>
      <w:r>
        <w:rPr>
          <w:spacing w:val="64"/>
          <w:sz w:val="20"/>
        </w:rPr>
        <w:t>  </w:t>
      </w:r>
      <w:r>
        <w:rPr>
          <w:sz w:val="20"/>
        </w:rPr>
        <w:t>s</w:t>
      </w:r>
      <w:r>
        <w:rPr>
          <w:spacing w:val="64"/>
          <w:sz w:val="20"/>
        </w:rPr>
        <w:t>  </w:t>
      </w:r>
      <w:r>
        <w:rPr>
          <w:sz w:val="20"/>
        </w:rPr>
        <w:t>články</w:t>
      </w:r>
      <w:r>
        <w:rPr>
          <w:spacing w:val="64"/>
          <w:sz w:val="20"/>
        </w:rPr>
        <w:t>  </w:t>
      </w:r>
      <w:r>
        <w:rPr>
          <w:sz w:val="20"/>
        </w:rPr>
        <w:t>107</w:t>
      </w:r>
      <w:r>
        <w:rPr>
          <w:spacing w:val="65"/>
          <w:sz w:val="20"/>
        </w:rPr>
        <w:t>  </w:t>
      </w:r>
      <w:r>
        <w:rPr>
          <w:sz w:val="20"/>
        </w:rPr>
        <w:t>a</w:t>
      </w:r>
      <w:r>
        <w:rPr>
          <w:spacing w:val="64"/>
          <w:sz w:val="20"/>
        </w:rPr>
        <w:t>  </w:t>
      </w:r>
      <w:r>
        <w:rPr>
          <w:sz w:val="20"/>
        </w:rPr>
        <w:t>108</w:t>
      </w:r>
      <w:r>
        <w:rPr>
          <w:spacing w:val="65"/>
          <w:sz w:val="20"/>
        </w:rPr>
        <w:t>  </w:t>
      </w:r>
      <w:r>
        <w:rPr>
          <w:sz w:val="20"/>
        </w:rPr>
        <w:t>Smlouvy</w:t>
      </w:r>
      <w:r>
        <w:rPr>
          <w:spacing w:val="64"/>
          <w:sz w:val="20"/>
        </w:rPr>
        <w:t>  </w:t>
      </w:r>
      <w:r>
        <w:rPr>
          <w:sz w:val="20"/>
        </w:rPr>
        <w:t>prohlašují</w:t>
      </w:r>
      <w:r>
        <w:rPr>
          <w:spacing w:val="64"/>
          <w:sz w:val="20"/>
        </w:rPr>
        <w:t>  </w:t>
      </w:r>
      <w:r>
        <w:rPr>
          <w:sz w:val="20"/>
        </w:rPr>
        <w:t>určité</w:t>
      </w:r>
      <w:r>
        <w:rPr>
          <w:spacing w:val="64"/>
          <w:sz w:val="20"/>
        </w:rPr>
        <w:t>  </w:t>
      </w:r>
      <w:r>
        <w:rPr>
          <w:sz w:val="20"/>
        </w:rPr>
        <w:t>kategorie</w:t>
      </w:r>
      <w:r>
        <w:rPr>
          <w:spacing w:val="65"/>
          <w:sz w:val="20"/>
        </w:rPr>
        <w:t>  </w:t>
      </w:r>
      <w:r>
        <w:rPr>
          <w:sz w:val="20"/>
        </w:rPr>
        <w:t>podpory</w:t>
      </w:r>
      <w:r>
        <w:rPr>
          <w:spacing w:val="65"/>
          <w:sz w:val="20"/>
        </w:rPr>
        <w:t>  </w:t>
      </w:r>
      <w:r>
        <w:rPr>
          <w:sz w:val="20"/>
        </w:rPr>
        <w:t>za</w:t>
      </w:r>
      <w:r>
        <w:rPr>
          <w:spacing w:val="64"/>
          <w:sz w:val="20"/>
        </w:rPr>
        <w:t>  </w:t>
      </w:r>
      <w:r>
        <w:rPr>
          <w:sz w:val="20"/>
        </w:rPr>
        <w:t>slučitelné s</w:t>
      </w:r>
      <w:r>
        <w:rPr>
          <w:spacing w:val="-2"/>
          <w:sz w:val="20"/>
        </w:rPr>
        <w:t> </w:t>
      </w:r>
      <w:r>
        <w:rPr>
          <w:sz w:val="20"/>
        </w:rPr>
        <w:t>vnitřním</w:t>
      </w:r>
      <w:r>
        <w:rPr>
          <w:spacing w:val="-1"/>
          <w:sz w:val="20"/>
        </w:rPr>
        <w:t> </w:t>
      </w:r>
      <w:r>
        <w:rPr>
          <w:sz w:val="20"/>
        </w:rPr>
        <w:t>trhem</w:t>
      </w:r>
      <w:r>
        <w:rPr>
          <w:spacing w:val="-1"/>
          <w:sz w:val="20"/>
        </w:rPr>
        <w:t> </w:t>
      </w:r>
      <w:r>
        <w:rPr>
          <w:sz w:val="20"/>
        </w:rPr>
        <w:t>(obecné</w:t>
      </w:r>
      <w:r>
        <w:rPr>
          <w:spacing w:val="-3"/>
          <w:sz w:val="20"/>
        </w:rPr>
        <w:t> </w:t>
      </w:r>
      <w:r>
        <w:rPr>
          <w:sz w:val="20"/>
        </w:rPr>
        <w:t>nařízení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blokových</w:t>
      </w:r>
      <w:r>
        <w:rPr>
          <w:spacing w:val="-2"/>
          <w:sz w:val="20"/>
        </w:rPr>
        <w:t> </w:t>
      </w:r>
      <w:r>
        <w:rPr>
          <w:sz w:val="20"/>
        </w:rPr>
        <w:t>výjimkách),</w:t>
      </w:r>
      <w:r>
        <w:rPr>
          <w:spacing w:val="-2"/>
          <w:sz w:val="20"/>
        </w:rPr>
        <w:t> </w:t>
      </w:r>
      <w:r>
        <w:rPr>
          <w:sz w:val="20"/>
        </w:rPr>
        <w:t>zveřejněném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Úředním</w:t>
      </w:r>
      <w:r>
        <w:rPr>
          <w:spacing w:val="-1"/>
          <w:sz w:val="20"/>
        </w:rPr>
        <w:t> </w:t>
      </w:r>
      <w:r>
        <w:rPr>
          <w:sz w:val="20"/>
        </w:rPr>
        <w:t>věstníku</w:t>
      </w:r>
      <w:r>
        <w:rPr>
          <w:spacing w:val="-2"/>
          <w:sz w:val="20"/>
        </w:rPr>
        <w:t> </w:t>
      </w:r>
      <w:r>
        <w:rPr>
          <w:sz w:val="20"/>
        </w:rPr>
        <w:t>EU dne</w:t>
      </w:r>
      <w:r>
        <w:rPr>
          <w:spacing w:val="-2"/>
          <w:sz w:val="20"/>
        </w:rPr>
        <w:t> </w:t>
      </w:r>
      <w:r>
        <w:rPr>
          <w:sz w:val="20"/>
        </w:rPr>
        <w:t>26.</w:t>
      </w:r>
      <w:r>
        <w:rPr>
          <w:spacing w:val="-2"/>
          <w:sz w:val="20"/>
        </w:rPr>
        <w:t> </w:t>
      </w:r>
      <w:r>
        <w:rPr>
          <w:sz w:val="20"/>
        </w:rPr>
        <w:t>června 2014 a jejím oznámením SA.109448 (článek 41).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  <w:ind w:right="989"/>
      </w:pPr>
      <w:r>
        <w:rPr>
          <w:spacing w:val="-5"/>
        </w:rPr>
        <w:t>II.</w:t>
      </w:r>
    </w:p>
    <w:p>
      <w:pPr>
        <w:pStyle w:val="Heading2"/>
        <w:spacing w:before="1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b/>
          <w:sz w:val="20"/>
        </w:rPr>
        <w:t>2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235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995,61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0"/>
          <w:sz w:val="20"/>
        </w:rPr>
        <w:t> </w:t>
      </w:r>
      <w:r>
        <w:rPr>
          <w:sz w:val="20"/>
        </w:rPr>
        <w:t>(slovy:</w:t>
      </w:r>
      <w:r>
        <w:rPr>
          <w:spacing w:val="-10"/>
          <w:sz w:val="20"/>
        </w:rPr>
        <w:t> </w:t>
      </w:r>
      <w:r>
        <w:rPr>
          <w:sz w:val="20"/>
        </w:rPr>
        <w:t>dva</w:t>
      </w:r>
      <w:r>
        <w:rPr>
          <w:spacing w:val="-11"/>
          <w:sz w:val="20"/>
        </w:rPr>
        <w:t> </w:t>
      </w:r>
      <w:r>
        <w:rPr>
          <w:sz w:val="20"/>
        </w:rPr>
        <w:t>miliony</w:t>
      </w:r>
      <w:r>
        <w:rPr>
          <w:spacing w:val="-11"/>
          <w:sz w:val="20"/>
        </w:rPr>
        <w:t> </w:t>
      </w:r>
      <w:r>
        <w:rPr>
          <w:sz w:val="20"/>
        </w:rPr>
        <w:t>dvě</w:t>
      </w:r>
      <w:r>
        <w:rPr>
          <w:spacing w:val="-13"/>
          <w:sz w:val="20"/>
        </w:rPr>
        <w:t> </w:t>
      </w:r>
      <w:r>
        <w:rPr>
          <w:sz w:val="20"/>
        </w:rPr>
        <w:t>stě</w:t>
      </w:r>
      <w:r>
        <w:rPr>
          <w:spacing w:val="-11"/>
          <w:sz w:val="20"/>
        </w:rPr>
        <w:t> </w:t>
      </w:r>
      <w:r>
        <w:rPr>
          <w:sz w:val="20"/>
        </w:rPr>
        <w:t>třicet</w:t>
      </w:r>
      <w:r>
        <w:rPr>
          <w:spacing w:val="-11"/>
          <w:sz w:val="20"/>
        </w:rPr>
        <w:t> </w:t>
      </w:r>
      <w:r>
        <w:rPr>
          <w:sz w:val="20"/>
        </w:rPr>
        <w:t>pět</w:t>
      </w:r>
      <w:r>
        <w:rPr>
          <w:spacing w:val="-11"/>
          <w:sz w:val="20"/>
        </w:rPr>
        <w:t> </w:t>
      </w:r>
      <w:r>
        <w:rPr>
          <w:sz w:val="20"/>
        </w:rPr>
        <w:t>tisíc</w:t>
      </w:r>
      <w:r>
        <w:rPr>
          <w:spacing w:val="-11"/>
          <w:sz w:val="20"/>
        </w:rPr>
        <w:t> </w:t>
      </w:r>
      <w:r>
        <w:rPr>
          <w:sz w:val="20"/>
        </w:rPr>
        <w:t>devět</w:t>
      </w:r>
      <w:r>
        <w:rPr>
          <w:spacing w:val="-11"/>
          <w:sz w:val="20"/>
        </w:rPr>
        <w:t> </w:t>
      </w:r>
      <w:r>
        <w:rPr>
          <w:sz w:val="20"/>
        </w:rPr>
        <w:t>set</w:t>
      </w:r>
      <w:r>
        <w:rPr>
          <w:spacing w:val="-8"/>
          <w:sz w:val="20"/>
        </w:rPr>
        <w:t> </w:t>
      </w:r>
      <w:r>
        <w:rPr>
          <w:sz w:val="20"/>
        </w:rPr>
        <w:t>devadesát</w:t>
      </w:r>
      <w:r>
        <w:rPr>
          <w:spacing w:val="-7"/>
          <w:sz w:val="20"/>
        </w:rPr>
        <w:t> </w:t>
      </w:r>
      <w:r>
        <w:rPr>
          <w:sz w:val="20"/>
        </w:rPr>
        <w:t>pět</w:t>
      </w:r>
      <w:r>
        <w:rPr>
          <w:spacing w:val="-11"/>
          <w:sz w:val="20"/>
        </w:rPr>
        <w:t> </w:t>
      </w:r>
      <w:r>
        <w:rPr>
          <w:sz w:val="20"/>
        </w:rPr>
        <w:t>korun</w:t>
      </w:r>
      <w:r>
        <w:rPr>
          <w:spacing w:val="-10"/>
          <w:sz w:val="20"/>
        </w:rPr>
        <w:t> </w:t>
      </w:r>
      <w:r>
        <w:rPr>
          <w:sz w:val="20"/>
        </w:rPr>
        <w:t>českých a šedesát jeden 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odpovídá</w:t>
      </w:r>
      <w:r>
        <w:rPr>
          <w:spacing w:val="-9"/>
          <w:sz w:val="20"/>
        </w:rPr>
        <w:t> </w:t>
      </w:r>
      <w:r>
        <w:rPr>
          <w:sz w:val="20"/>
        </w:rPr>
        <w:t>způsobilým</w:t>
      </w:r>
      <w:r>
        <w:rPr>
          <w:spacing w:val="-6"/>
          <w:sz w:val="20"/>
        </w:rPr>
        <w:t> </w:t>
      </w:r>
      <w:r>
        <w:rPr>
          <w:sz w:val="20"/>
        </w:rPr>
        <w:t>výdajům</w:t>
      </w:r>
      <w:r>
        <w:rPr>
          <w:spacing w:val="-7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žádosti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jejích</w:t>
      </w:r>
      <w:r>
        <w:rPr>
          <w:spacing w:val="-8"/>
          <w:sz w:val="20"/>
        </w:rPr>
        <w:t> </w:t>
      </w:r>
      <w:r>
        <w:rPr>
          <w:sz w:val="20"/>
        </w:rPr>
        <w:t>příloh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BodyText"/>
        <w:ind w:left="396"/>
        <w:jc w:val="both"/>
      </w:pPr>
      <w:r>
        <w:rPr/>
        <w:t>činí</w:t>
      </w:r>
      <w:r>
        <w:rPr>
          <w:spacing w:val="-4"/>
        </w:rPr>
        <w:t> </w:t>
      </w:r>
      <w:r>
        <w:rPr/>
        <w:t>7</w:t>
      </w:r>
      <w:r>
        <w:rPr>
          <w:spacing w:val="-4"/>
        </w:rPr>
        <w:t> </w:t>
      </w:r>
      <w:r>
        <w:rPr/>
        <w:t>565</w:t>
      </w:r>
      <w:r>
        <w:rPr>
          <w:spacing w:val="-4"/>
        </w:rPr>
        <w:t> </w:t>
      </w:r>
      <w:r>
        <w:rPr/>
        <w:t>596,00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5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přesáhnout</w:t>
      </w:r>
      <w:r>
        <w:rPr>
          <w:spacing w:val="35"/>
          <w:sz w:val="20"/>
        </w:rPr>
        <w:t> </w:t>
      </w:r>
      <w:r>
        <w:rPr>
          <w:sz w:val="20"/>
        </w:rPr>
        <w:t>30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z w:val="20"/>
        </w:rPr>
        <w:t>ze</w:t>
      </w:r>
      <w:r>
        <w:rPr>
          <w:spacing w:val="33"/>
          <w:sz w:val="20"/>
        </w:rPr>
        <w:t> </w:t>
      </w:r>
      <w:r>
        <w:rPr>
          <w:sz w:val="20"/>
        </w:rPr>
        <w:t>způsobilých</w:t>
      </w:r>
      <w:r>
        <w:rPr>
          <w:spacing w:val="35"/>
          <w:sz w:val="20"/>
        </w:rPr>
        <w:t> </w:t>
      </w:r>
      <w:r>
        <w:rPr>
          <w:sz w:val="20"/>
        </w:rPr>
        <w:t>výdajů</w:t>
      </w:r>
      <w:r>
        <w:rPr>
          <w:spacing w:val="33"/>
          <w:sz w:val="20"/>
        </w:rPr>
        <w:t> </w:t>
      </w:r>
      <w:r>
        <w:rPr>
          <w:sz w:val="20"/>
        </w:rPr>
        <w:t>projektu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zároveň</w:t>
      </w:r>
      <w:r>
        <w:rPr>
          <w:spacing w:val="34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překročit</w:t>
      </w:r>
      <w:r>
        <w:rPr>
          <w:spacing w:val="39"/>
          <w:sz w:val="20"/>
        </w:rPr>
        <w:t> </w:t>
      </w:r>
      <w:r>
        <w:rPr>
          <w:sz w:val="20"/>
        </w:rPr>
        <w:t>50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pacing w:val="-10"/>
          <w:sz w:val="20"/>
        </w:rPr>
        <w:t>z</w:t>
      </w:r>
    </w:p>
    <w:p>
      <w:pPr>
        <w:pStyle w:val="BodyText"/>
        <w:ind w:left="396"/>
        <w:jc w:val="both"/>
      </w:pPr>
      <w:r>
        <w:rPr/>
        <w:t>celkových</w:t>
      </w:r>
      <w:r>
        <w:rPr>
          <w:spacing w:val="-6"/>
        </w:rPr>
        <w:t> </w:t>
      </w:r>
      <w:r>
        <w:rPr/>
        <w:t>výdajů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 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spacing w:before="1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37" w:lineRule="auto" w:before="1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2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6"/>
          <w:sz w:val="20"/>
        </w:rPr>
        <w:t> </w:t>
      </w:r>
      <w:r>
        <w:rPr>
          <w:sz w:val="20"/>
        </w:rPr>
        <w:t>(v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89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spacing w:before="2"/>
        <w:rPr>
          <w:sz w:val="29"/>
        </w:rPr>
      </w:pPr>
    </w:p>
    <w:p>
      <w:pPr>
        <w:pStyle w:val="Heading1"/>
        <w:spacing w:line="265" w:lineRule="exact"/>
        <w:ind w:right="1350"/>
      </w:pPr>
      <w:r>
        <w:rPr>
          <w:spacing w:val="-5"/>
        </w:rPr>
        <w:t>IV.</w:t>
      </w:r>
    </w:p>
    <w:p>
      <w:pPr>
        <w:pStyle w:val="Heading2"/>
        <w:spacing w:line="265" w:lineRule="exact"/>
        <w:ind w:left="1344" w:right="13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3" w:hanging="360"/>
        <w:jc w:val="left"/>
        <w:rPr>
          <w:sz w:val="20"/>
        </w:rPr>
      </w:pPr>
      <w:r>
        <w:rPr>
          <w:sz w:val="20"/>
        </w:rPr>
        <w:t>splní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 „Instalace</w:t>
      </w:r>
      <w:r>
        <w:rPr>
          <w:spacing w:val="-2"/>
          <w:sz w:val="20"/>
        </w:rPr>
        <w:t> </w:t>
      </w:r>
      <w:r>
        <w:rPr>
          <w:sz w:val="20"/>
        </w:rPr>
        <w:t>FVE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společnosti NEONLAK</w:t>
      </w:r>
      <w:r>
        <w:rPr>
          <w:spacing w:val="-2"/>
          <w:sz w:val="20"/>
        </w:rPr>
        <w:t> </w:t>
      </w:r>
      <w:r>
        <w:rPr>
          <w:sz w:val="20"/>
        </w:rPr>
        <w:t>spol. s</w:t>
      </w:r>
      <w:r>
        <w:rPr>
          <w:spacing w:val="-2"/>
          <w:sz w:val="20"/>
        </w:rPr>
        <w:t> </w:t>
      </w:r>
      <w:r>
        <w:rPr>
          <w:sz w:val="20"/>
        </w:rPr>
        <w:t>r.o.“ tím,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provedena</w:t>
      </w:r>
      <w:r>
        <w:rPr>
          <w:spacing w:val="-2"/>
          <w:sz w:val="20"/>
        </w:rPr>
        <w:t> </w:t>
      </w:r>
      <w:r>
        <w:rPr>
          <w:sz w:val="20"/>
        </w:rPr>
        <w:t>v souladu s Výzvou,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" w:after="0"/>
        <w:ind w:left="756" w:right="115" w:hanging="360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> </w:t>
      </w:r>
      <w:r>
        <w:rPr>
          <w:sz w:val="20"/>
        </w:rPr>
        <w:t>projektu</w:t>
      </w:r>
      <w:r>
        <w:rPr>
          <w:spacing w:val="29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 výstavbě</w:t>
      </w:r>
      <w:r>
        <w:rPr>
          <w:spacing w:val="29"/>
          <w:sz w:val="20"/>
        </w:rPr>
        <w:t> </w:t>
      </w:r>
      <w:r>
        <w:rPr>
          <w:sz w:val="20"/>
        </w:rPr>
        <w:t>nové</w:t>
      </w:r>
      <w:r>
        <w:rPr>
          <w:spacing w:val="29"/>
          <w:sz w:val="20"/>
        </w:rPr>
        <w:t> </w:t>
      </w:r>
      <w:r>
        <w:rPr>
          <w:sz w:val="20"/>
        </w:rPr>
        <w:t>fotovoltaické</w:t>
      </w:r>
      <w:r>
        <w:rPr>
          <w:spacing w:val="31"/>
          <w:sz w:val="20"/>
        </w:rPr>
        <w:t> </w:t>
      </w:r>
      <w:r>
        <w:rPr>
          <w:sz w:val="20"/>
        </w:rPr>
        <w:t>elektrárny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střešní</w:t>
      </w:r>
      <w:r>
        <w:rPr>
          <w:spacing w:val="29"/>
          <w:sz w:val="20"/>
        </w:rPr>
        <w:t> </w:t>
      </w:r>
      <w:r>
        <w:rPr>
          <w:sz w:val="20"/>
        </w:rPr>
        <w:t>instalací</w:t>
      </w:r>
      <w:r>
        <w:rPr>
          <w:spacing w:val="29"/>
          <w:sz w:val="20"/>
        </w:rPr>
        <w:t> </w:t>
      </w:r>
      <w:r>
        <w:rPr>
          <w:sz w:val="20"/>
        </w:rPr>
        <w:t>s</w:t>
      </w:r>
      <w:r>
        <w:rPr>
          <w:spacing w:val="32"/>
          <w:sz w:val="20"/>
        </w:rPr>
        <w:t> </w:t>
      </w:r>
      <w:r>
        <w:rPr>
          <w:sz w:val="20"/>
        </w:rPr>
        <w:t>předpokládaným výkonem 299,75 kWp,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19" w:after="0"/>
        <w:ind w:left="756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299.75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245.40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599.23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285.35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> </w:t>
      </w:r>
      <w:r>
        <w:rPr>
          <w:sz w:val="20"/>
        </w:rPr>
        <w:t>Rozhodnutí. Ukončením projektu se rozumí datum předložení podkladů pro ZVA dle čl.14.3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8" w:after="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> </w:t>
      </w:r>
      <w:r>
        <w:rPr>
          <w:sz w:val="20"/>
        </w:rPr>
        <w:t>vlastníkem 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 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 (či</w:t>
      </w:r>
      <w:r>
        <w:rPr>
          <w:spacing w:val="22"/>
          <w:sz w:val="20"/>
        </w:rPr>
        <w:t> </w:t>
      </w:r>
      <w:r>
        <w:rPr>
          <w:sz w:val="20"/>
        </w:rPr>
        <w:t>rekonstruované,</w:t>
      </w:r>
      <w:r>
        <w:rPr>
          <w:spacing w:val="22"/>
          <w:sz w:val="20"/>
        </w:rPr>
        <w:t> </w:t>
      </w:r>
      <w:r>
        <w:rPr>
          <w:sz w:val="20"/>
        </w:rPr>
        <w:t>upravené,</w:t>
      </w:r>
      <w:r>
        <w:rPr>
          <w:spacing w:val="22"/>
          <w:sz w:val="20"/>
        </w:rPr>
        <w:t> </w:t>
      </w:r>
      <w:r>
        <w:rPr>
          <w:sz w:val="20"/>
        </w:rPr>
        <w:t>nebo</w:t>
      </w:r>
      <w:r>
        <w:rPr>
          <w:spacing w:val="22"/>
          <w:sz w:val="20"/>
        </w:rPr>
        <w:t> </w:t>
      </w:r>
      <w:r>
        <w:rPr>
          <w:sz w:val="20"/>
        </w:rPr>
        <w:t>jinak</w:t>
      </w:r>
      <w:r>
        <w:rPr>
          <w:spacing w:val="21"/>
          <w:sz w:val="20"/>
        </w:rPr>
        <w:t> </w:t>
      </w:r>
      <w:r>
        <w:rPr>
          <w:sz w:val="20"/>
        </w:rPr>
        <w:t>výrazně</w:t>
      </w:r>
      <w:r>
        <w:rPr>
          <w:spacing w:val="22"/>
          <w:sz w:val="20"/>
        </w:rPr>
        <w:t> </w:t>
      </w:r>
      <w:r>
        <w:rPr>
          <w:sz w:val="20"/>
        </w:rPr>
        <w:t>zhodnocené)</w:t>
      </w:r>
      <w:r>
        <w:rPr>
          <w:spacing w:val="23"/>
          <w:sz w:val="20"/>
        </w:rPr>
        <w:t> </w:t>
      </w:r>
      <w:r>
        <w:rPr>
          <w:sz w:val="20"/>
        </w:rPr>
        <w:t>s</w:t>
      </w:r>
      <w:r>
        <w:rPr>
          <w:spacing w:val="21"/>
          <w:sz w:val="20"/>
        </w:rPr>
        <w:t> </w:t>
      </w:r>
      <w:r>
        <w:rPr>
          <w:sz w:val="20"/>
        </w:rPr>
        <w:t>podporou</w:t>
      </w:r>
      <w:r>
        <w:rPr>
          <w:spacing w:val="22"/>
          <w:sz w:val="20"/>
        </w:rPr>
        <w:t> </w:t>
      </w:r>
      <w:r>
        <w:rPr>
          <w:sz w:val="20"/>
        </w:rPr>
        <w:t>podle</w:t>
      </w:r>
      <w:r>
        <w:rPr>
          <w:spacing w:val="21"/>
          <w:sz w:val="20"/>
        </w:rPr>
        <w:t> </w:t>
      </w:r>
      <w:r>
        <w:rPr>
          <w:sz w:val="20"/>
        </w:rPr>
        <w:t>této</w:t>
      </w:r>
      <w:r>
        <w:rPr>
          <w:spacing w:val="24"/>
          <w:sz w:val="20"/>
        </w:rPr>
        <w:t> </w:t>
      </w:r>
      <w:r>
        <w:rPr>
          <w:sz w:val="20"/>
        </w:rPr>
        <w:t>Smlouvy,</w:t>
      </w:r>
      <w:r>
        <w:rPr>
          <w:spacing w:val="23"/>
          <w:sz w:val="20"/>
        </w:rPr>
        <w:t> </w:t>
      </w:r>
      <w:r>
        <w:rPr>
          <w:sz w:val="20"/>
        </w:rPr>
        <w:t>jakož</w:t>
      </w:r>
      <w:r>
        <w:rPr>
          <w:spacing w:val="22"/>
          <w:sz w:val="20"/>
        </w:rPr>
        <w:t> </w:t>
      </w:r>
      <w:r>
        <w:rPr>
          <w:sz w:val="20"/>
        </w:rPr>
        <w:t>i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756" w:right="112"/>
        <w:jc w:val="both"/>
      </w:pPr>
      <w:r>
        <w:rPr/>
        <w:t>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> </w:t>
      </w:r>
      <w:r>
        <w:rPr/>
        <w:t>není</w:t>
      </w:r>
      <w:r>
        <w:rPr>
          <w:spacing w:val="-10"/>
        </w:rPr>
        <w:t> </w:t>
      </w:r>
      <w:r>
        <w:rPr/>
        <w:t>jejich</w:t>
      </w:r>
      <w:r>
        <w:rPr>
          <w:spacing w:val="-10"/>
        </w:rPr>
        <w:t> </w:t>
      </w:r>
      <w:r>
        <w:rPr/>
        <w:t>vlastníkem).</w:t>
      </w:r>
      <w:r>
        <w:rPr>
          <w:spacing w:val="-10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dále</w:t>
      </w:r>
      <w:r>
        <w:rPr>
          <w:spacing w:val="-12"/>
        </w:rPr>
        <w:t> </w:t>
      </w:r>
      <w:r>
        <w:rPr/>
        <w:t>povinen</w:t>
      </w:r>
      <w:r>
        <w:rPr>
          <w:spacing w:val="-11"/>
        </w:rPr>
        <w:t> </w:t>
      </w:r>
      <w:r>
        <w:rPr/>
        <w:t>zabezpečit,</w:t>
      </w:r>
      <w:r>
        <w:rPr>
          <w:spacing w:val="-11"/>
        </w:rPr>
        <w:t> </w:t>
      </w:r>
      <w:r>
        <w:rPr/>
        <w:t>že</w:t>
      </w:r>
      <w:r>
        <w:rPr>
          <w:spacing w:val="-11"/>
        </w:rPr>
        <w:t> </w:t>
      </w:r>
      <w:r>
        <w:rPr/>
        <w:t>předmět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nebude převeden bez souhlasu Fondu na jinou osobu nejméně po dobu udržitelnosti. V případě, že Fond převod předmětu</w:t>
      </w:r>
      <w:r>
        <w:rPr>
          <w:spacing w:val="-14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odsouhlasí,</w:t>
      </w:r>
      <w:r>
        <w:rPr>
          <w:spacing w:val="-14"/>
        </w:rPr>
        <w:t> </w:t>
      </w:r>
      <w:r>
        <w:rPr/>
        <w:t>příjemce</w:t>
      </w:r>
      <w:r>
        <w:rPr>
          <w:spacing w:val="-13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zabezpečí,</w:t>
      </w:r>
      <w:r>
        <w:rPr>
          <w:spacing w:val="-14"/>
        </w:rPr>
        <w:t> </w:t>
      </w:r>
      <w:r>
        <w:rPr/>
        <w:t>že</w:t>
      </w:r>
      <w:r>
        <w:rPr>
          <w:spacing w:val="-13"/>
        </w:rPr>
        <w:t> </w:t>
      </w:r>
      <w:r>
        <w:rPr/>
        <w:t>účel,</w:t>
      </w:r>
      <w:r>
        <w:rPr>
          <w:spacing w:val="-14"/>
        </w:rPr>
        <w:t> </w:t>
      </w:r>
      <w:r>
        <w:rPr/>
        <w:t>pro</w:t>
      </w:r>
      <w:r>
        <w:rPr>
          <w:spacing w:val="-14"/>
        </w:rPr>
        <w:t> </w:t>
      </w:r>
      <w:r>
        <w:rPr/>
        <w:t>který</w:t>
      </w:r>
      <w:r>
        <w:rPr>
          <w:spacing w:val="-13"/>
        </w:rPr>
        <w:t> </w:t>
      </w:r>
      <w:r>
        <w:rPr/>
        <w:t>je</w:t>
      </w:r>
      <w:r>
        <w:rPr>
          <w:spacing w:val="-14"/>
        </w:rPr>
        <w:t> </w:t>
      </w:r>
      <w:r>
        <w:rPr/>
        <w:t>poskytnuta</w:t>
      </w:r>
      <w:r>
        <w:rPr>
          <w:spacing w:val="-14"/>
        </w:rPr>
        <w:t> </w:t>
      </w:r>
      <w:r>
        <w:rPr/>
        <w:t>podpora</w:t>
      </w:r>
      <w:r>
        <w:rPr>
          <w:spacing w:val="-14"/>
        </w:rPr>
        <w:t> </w:t>
      </w:r>
      <w:r>
        <w:rPr/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40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2"/>
        <w:ind w:left="756" w:right="115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5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ponechá</w:t>
      </w:r>
      <w:r>
        <w:rPr>
          <w:spacing w:val="14"/>
          <w:sz w:val="20"/>
        </w:rPr>
        <w:t> </w:t>
      </w:r>
      <w:r>
        <w:rPr>
          <w:sz w:val="20"/>
        </w:rPr>
        <w:t>předmět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svém</w:t>
      </w:r>
      <w:r>
        <w:rPr>
          <w:spacing w:val="13"/>
          <w:sz w:val="20"/>
        </w:rPr>
        <w:t> </w:t>
      </w:r>
      <w:r>
        <w:rPr>
          <w:sz w:val="20"/>
        </w:rPr>
        <w:t>vlastnictví</w:t>
      </w:r>
      <w:r>
        <w:rPr>
          <w:spacing w:val="13"/>
          <w:sz w:val="20"/>
        </w:rPr>
        <w:t> </w:t>
      </w:r>
      <w:r>
        <w:rPr>
          <w:sz w:val="20"/>
        </w:rPr>
        <w:t>alespoň</w:t>
      </w:r>
      <w:r>
        <w:rPr>
          <w:spacing w:val="12"/>
          <w:sz w:val="20"/>
        </w:rPr>
        <w:t> </w:t>
      </w:r>
      <w:r>
        <w:rPr>
          <w:sz w:val="20"/>
        </w:rPr>
        <w:t>po</w:t>
      </w:r>
      <w:r>
        <w:rPr>
          <w:spacing w:val="13"/>
          <w:sz w:val="20"/>
        </w:rPr>
        <w:t> </w:t>
      </w:r>
      <w:r>
        <w:rPr>
          <w:sz w:val="20"/>
        </w:rPr>
        <w:t>dobu</w:t>
      </w:r>
      <w:r>
        <w:rPr>
          <w:spacing w:val="13"/>
          <w:sz w:val="20"/>
        </w:rPr>
        <w:t> </w:t>
      </w:r>
      <w:r>
        <w:rPr>
          <w:sz w:val="20"/>
        </w:rPr>
        <w:t>udržitelnosti</w:t>
      </w:r>
      <w:r>
        <w:rPr>
          <w:spacing w:val="18"/>
          <w:sz w:val="20"/>
        </w:rPr>
        <w:t> </w:t>
      </w:r>
      <w:r>
        <w:rPr>
          <w:sz w:val="20"/>
        </w:rPr>
        <w:t>-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18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2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89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7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2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ind w:right="1345"/>
      </w:pPr>
      <w:r>
        <w:rPr>
          <w:spacing w:val="-5"/>
        </w:rPr>
        <w:t>V.</w:t>
      </w:r>
    </w:p>
    <w:p>
      <w:pPr>
        <w:pStyle w:val="Heading2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9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1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8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0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89" w:after="0"/>
        <w:ind w:left="396" w:right="11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37" w:lineRule="auto" w:before="123" w:after="0"/>
        <w:ind w:left="396" w:right="114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0"/>
          <w:sz w:val="20"/>
        </w:rPr>
        <w:t> </w:t>
      </w:r>
      <w:r>
        <w:rPr>
          <w:sz w:val="20"/>
        </w:rPr>
        <w:t>dojde</w:t>
      </w:r>
      <w:r>
        <w:rPr>
          <w:spacing w:val="20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21"/>
          <w:sz w:val="20"/>
        </w:rPr>
        <w:t> </w:t>
      </w:r>
      <w:r>
        <w:rPr>
          <w:sz w:val="20"/>
        </w:rPr>
        <w:t>povinností</w:t>
      </w:r>
      <w:r>
        <w:rPr>
          <w:spacing w:val="21"/>
          <w:sz w:val="20"/>
        </w:rPr>
        <w:t> </w:t>
      </w:r>
      <w:r>
        <w:rPr>
          <w:sz w:val="20"/>
        </w:rPr>
        <w:t>uvedených</w:t>
      </w:r>
      <w:r>
        <w:rPr>
          <w:spacing w:val="23"/>
          <w:sz w:val="20"/>
        </w:rPr>
        <w:t> </w:t>
      </w:r>
      <w:r>
        <w:rPr>
          <w:sz w:val="20"/>
        </w:rPr>
        <w:t>v článku</w:t>
      </w:r>
      <w:r>
        <w:rPr>
          <w:spacing w:val="20"/>
          <w:sz w:val="20"/>
        </w:rPr>
        <w:t> </w:t>
      </w:r>
      <w:r>
        <w:rPr>
          <w:sz w:val="20"/>
        </w:rPr>
        <w:t>IV</w:t>
      </w:r>
      <w:r>
        <w:rPr>
          <w:spacing w:val="22"/>
          <w:sz w:val="20"/>
        </w:rPr>
        <w:t> </w:t>
      </w:r>
      <w:r>
        <w:rPr>
          <w:sz w:val="20"/>
        </w:rPr>
        <w:t>bodu</w:t>
      </w:r>
      <w:r>
        <w:rPr>
          <w:spacing w:val="21"/>
          <w:sz w:val="20"/>
        </w:rPr>
        <w:t> </w:t>
      </w:r>
      <w:r>
        <w:rPr>
          <w:sz w:val="20"/>
        </w:rPr>
        <w:t>2</w:t>
      </w:r>
      <w:r>
        <w:rPr>
          <w:spacing w:val="19"/>
          <w:sz w:val="20"/>
        </w:rPr>
        <w:t> </w:t>
      </w:r>
      <w:r>
        <w:rPr>
          <w:sz w:val="20"/>
        </w:rPr>
        <w:t>písm.</w:t>
      </w:r>
      <w:r>
        <w:rPr>
          <w:spacing w:val="20"/>
          <w:sz w:val="20"/>
        </w:rPr>
        <w:t> </w:t>
      </w:r>
      <w:r>
        <w:rPr>
          <w:sz w:val="20"/>
        </w:rPr>
        <w:t>g),</w:t>
      </w:r>
      <w:r>
        <w:rPr>
          <w:spacing w:val="21"/>
          <w:sz w:val="20"/>
        </w:rPr>
        <w:t> </w:t>
      </w:r>
      <w:r>
        <w:rPr>
          <w:sz w:val="20"/>
        </w:rPr>
        <w:t>bude</w:t>
      </w:r>
      <w:r>
        <w:rPr>
          <w:spacing w:val="20"/>
          <w:sz w:val="20"/>
        </w:rPr>
        <w:t> </w:t>
      </w:r>
      <w:r>
        <w:rPr>
          <w:sz w:val="20"/>
        </w:rPr>
        <w:t>stanovena</w:t>
      </w:r>
      <w:r>
        <w:rPr>
          <w:spacing w:val="20"/>
          <w:sz w:val="20"/>
        </w:rPr>
        <w:t> </w:t>
      </w:r>
      <w:r>
        <w:rPr>
          <w:sz w:val="20"/>
        </w:rPr>
        <w:t>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0" w:hanging="285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pStyle w:val="BodyText"/>
      </w:pPr>
    </w:p>
    <w:p>
      <w:pPr>
        <w:pStyle w:val="Heading1"/>
        <w:ind w:right="1350"/>
      </w:pPr>
      <w:r>
        <w:rPr>
          <w:spacing w:val="-5"/>
        </w:rPr>
        <w:t>VI.</w:t>
      </w:r>
    </w:p>
    <w:p>
      <w:pPr>
        <w:pStyle w:val="Heading2"/>
        <w:spacing w:before="1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2"/>
          <w:sz w:val="20"/>
        </w:rPr>
        <w:t> </w:t>
      </w:r>
      <w:r>
        <w:rPr>
          <w:sz w:val="20"/>
        </w:rPr>
        <w:t>Směrnicí MŽP.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2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65" w:lineRule="exact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spacing w:line="265" w:lineRule="exact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6"/>
        </w:rPr>
        <w:t> </w:t>
      </w:r>
      <w:r>
        <w:rPr/>
        <w:t>věci,</w:t>
      </w:r>
      <w:r>
        <w:rPr>
          <w:spacing w:val="-3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daná</w:t>
      </w:r>
      <w:r>
        <w:rPr>
          <w:spacing w:val="-4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2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19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2"/>
        <w:rPr>
          <w:sz w:val="28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spacing w:before="89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České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4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1"/>
          <w:sz w:val="20"/>
        </w:rPr>
        <w:t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> </w:t>
      </w:r>
      <w:r>
        <w:rPr>
          <w:sz w:val="20"/>
        </w:rPr>
        <w:t>kázně</w:t>
      </w:r>
      <w:r>
        <w:rPr>
          <w:spacing w:val="-1"/>
          <w:sz w:val="20"/>
        </w:rPr>
        <w:t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0" w:after="0"/>
        <w:ind w:left="679" w:right="116" w:hanging="505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6880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47168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5" w:right="13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2025-05-15T13:25:44Z</dcterms:created>
  <dcterms:modified xsi:type="dcterms:W3CDTF">2025-05-15T13:25:44Z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2025-05-15T00:00:00Z</vt:filetime>
  </property>
</Properties>
</file>