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20" w:line="230" w:lineRule="auto"/>
        <w:ind w:left="0" w:right="0" w:firstLine="0"/>
        <w:jc w:val="center"/>
      </w:pPr>
      <w:r>
        <w:rPr>
          <w:b/>
          <w:bCs/>
          <w:color w:val="000000"/>
          <w:spacing w:val="0"/>
          <w:w w:val="100"/>
          <w:position w:val="0"/>
          <w:sz w:val="24"/>
          <w:szCs w:val="24"/>
          <w:shd w:val="clear" w:color="auto" w:fill="auto"/>
          <w:lang w:val="cs-CZ" w:eastAsia="cs-CZ" w:bidi="cs-CZ"/>
        </w:rPr>
        <w:t>Dodatek č. 14</w:t>
        <w:br/>
      </w:r>
      <w:r>
        <w:rPr>
          <w:color w:val="000000"/>
          <w:spacing w:val="0"/>
          <w:w w:val="100"/>
          <w:position w:val="0"/>
          <w:shd w:val="clear" w:color="auto" w:fill="auto"/>
          <w:lang w:val="cs-CZ" w:eastAsia="cs-CZ" w:bidi="cs-CZ"/>
        </w:rPr>
        <w:t>ke smlouvě o nájmu prostor sloužících k podnikání</w:t>
        <w:br/>
        <w:t>č. 1047/2016 uzavřené mezi smluvními stranami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 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Pronajímatel: </w:t>
      </w: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ve věcech smluvních</w:t>
      </w:r>
    </w:p>
    <w:p>
      <w:pPr>
        <w:pStyle w:val="Style2"/>
        <w:keepNext w:val="0"/>
        <w:keepLines w:val="0"/>
        <w:widowControl w:val="0"/>
        <w:shd w:val="clear" w:color="auto" w:fill="auto"/>
        <w:tabs>
          <w:tab w:pos="4332" w:val="left"/>
        </w:tabs>
        <w:bidi w:val="0"/>
        <w:spacing w:before="0" w:after="0" w:line="240" w:lineRule="auto"/>
        <w:ind w:left="1500" w:right="0" w:firstLine="0"/>
        <w:jc w:val="left"/>
      </w:pPr>
      <w:r>
        <w:rPr>
          <w:color w:val="000000"/>
          <w:spacing w:val="0"/>
          <w:w w:val="100"/>
          <w:position w:val="0"/>
          <w:shd w:val="clear" w:color="auto" w:fill="auto"/>
          <w:lang w:val="cs-CZ" w:eastAsia="cs-CZ" w:bidi="cs-CZ"/>
        </w:rPr>
        <w:t>IČO: 70889988</w:t>
        <w:tab/>
        <w:t>DIČ:</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č. ú.:</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Povodí Ohře, státní podnik je zapsán v obchodním rejstříku u Krajského soudu</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v Ústí nad Labem v oddílu A, vložka č. 13052</w:t>
      </w:r>
    </w:p>
    <w:p>
      <w:pPr>
        <w:pStyle w:val="Style2"/>
        <w:keepNext w:val="0"/>
        <w:keepLines w:val="0"/>
        <w:widowControl w:val="0"/>
        <w:shd w:val="clear" w:color="auto" w:fill="auto"/>
        <w:bidi w:val="0"/>
        <w:spacing w:before="0" w:line="240" w:lineRule="auto"/>
        <w:ind w:left="1500" w:right="0" w:firstLine="0"/>
        <w:jc w:val="left"/>
      </w:pPr>
      <w:r>
        <w:rPr>
          <w:color w:val="000000"/>
          <w:spacing w:val="0"/>
          <w:w w:val="100"/>
          <w:position w:val="0"/>
          <w:shd w:val="clear" w:color="auto" w:fill="auto"/>
          <w:lang w:val="cs-CZ" w:eastAsia="cs-CZ" w:bidi="cs-CZ"/>
        </w:rPr>
        <w:t>(dále jen ,,pronajímatel“)</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1411"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Nájemce:</w:t>
        <w:tab/>
      </w:r>
      <w:r>
        <w:rPr>
          <w:color w:val="000000"/>
          <w:spacing w:val="0"/>
          <w:w w:val="100"/>
          <w:position w:val="0"/>
          <w:shd w:val="clear" w:color="auto" w:fill="auto"/>
          <w:lang w:val="cs-CZ" w:eastAsia="cs-CZ" w:bidi="cs-CZ"/>
        </w:rPr>
        <w:t>VLTAVA LABE MEDIA a.s.</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U Trezorky 921/2, 158 00 Praha 5-Jinonice</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Zastoupená</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IČO: 01440578</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č.ú.:</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Společnost je zapsána v obchodním rejstříku vedeného Městským soudem v Praze</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v oddílu B, vložka 18970</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Plátce DPH.</w:t>
      </w:r>
    </w:p>
    <w:p>
      <w:pPr>
        <w:pStyle w:val="Style2"/>
        <w:keepNext w:val="0"/>
        <w:keepLines w:val="0"/>
        <w:widowControl w:val="0"/>
        <w:shd w:val="clear" w:color="auto" w:fill="auto"/>
        <w:bidi w:val="0"/>
        <w:spacing w:before="0" w:line="240" w:lineRule="auto"/>
        <w:ind w:left="1500" w:right="0" w:firstLine="0"/>
        <w:jc w:val="left"/>
      </w:pPr>
      <w:r>
        <w:rPr>
          <w:color w:val="000000"/>
          <w:spacing w:val="0"/>
          <w:w w:val="100"/>
          <w:position w:val="0"/>
          <w:shd w:val="clear" w:color="auto" w:fill="auto"/>
          <w:lang w:val="cs-CZ" w:eastAsia="cs-CZ" w:bidi="cs-CZ"/>
        </w:rPr>
        <w:t>(dále jen ,,nájemce“).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společně také dále jen „smluvní strany“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Pronajímatel a nájemce se dohodli, že tímto dodatkem se mění článek V., článek VI. odst. 1 smlouvy č. 1047/2016 uzavřené mezi smluvními stranami dne 5.12.2016 takto: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 čl. V. smlouvy se za tabulku s vyčíslením ceny nájmu pro rok 2024 doplňuje:</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Pro rok 2025 je cena nájmu stanovena následovně:</w:t>
      </w:r>
    </w:p>
    <w:tbl>
      <w:tblPr>
        <w:tblOverlap w:val="never"/>
        <w:jc w:val="center"/>
        <w:tblLayout w:type="fixed"/>
      </w:tblPr>
      <w:tblGrid>
        <w:gridCol w:w="1987"/>
        <w:gridCol w:w="1061"/>
        <w:gridCol w:w="1080"/>
        <w:gridCol w:w="1152"/>
        <w:gridCol w:w="1253"/>
        <w:gridCol w:w="835"/>
        <w:gridCol w:w="955"/>
        <w:gridCol w:w="1330"/>
      </w:tblGrid>
      <w:tr>
        <w:trPr>
          <w:trHeight w:val="307"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 2025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Plocha</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Kč</w:t>
            </w:r>
          </w:p>
        </w:tc>
        <w:tc>
          <w:tcPr>
            <w:gridSpan w:val="2"/>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nájemné bez DPH v Kč</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sazba</w:t>
            </w:r>
          </w:p>
        </w:tc>
        <w:tc>
          <w:tcPr>
            <w:gridSpan w:val="2"/>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čtvrtletní úhrada v Kč</w:t>
            </w: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1 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roční</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čtvrtletní</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celkem</w:t>
            </w:r>
          </w:p>
        </w:tc>
      </w:tr>
      <w:tr>
        <w:trPr>
          <w:trHeight w:val="298"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pronajatá plocha</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1 473,64</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88 418,40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22 104,60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4 641,97</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26 746,57</w:t>
            </w:r>
          </w:p>
        </w:tc>
      </w:tr>
      <w:tr>
        <w:trPr>
          <w:trHeight w:val="302"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teplo, vodné, stočné</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372,65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22 359,00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5 589,75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670,77</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6 260,52</w:t>
            </w:r>
          </w:p>
        </w:tc>
      </w:tr>
      <w:tr>
        <w:trPr>
          <w:trHeight w:val="298"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služby</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1 105,00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66 300,00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16 575,00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3 480,75</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20 055,75</w:t>
            </w:r>
          </w:p>
        </w:tc>
      </w:tr>
      <w:tr>
        <w:trPr>
          <w:trHeight w:val="302"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parkoviště</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12,50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397,89</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4 973,63</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1 243,41</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261,12</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1 504,53</w:t>
            </w:r>
          </w:p>
        </w:tc>
      </w:tr>
      <w:tr>
        <w:trPr>
          <w:trHeight w:val="298"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 energie</w:t>
            </w:r>
          </w:p>
        </w:tc>
        <w:tc>
          <w:tcPr>
            <w:gridSpan w:val="2"/>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pronajaté prostory</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14 968,00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3 742,00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785,82</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4 527,82</w:t>
            </w:r>
          </w:p>
        </w:tc>
      </w:tr>
      <w:tr>
        <w:trPr>
          <w:trHeight w:val="346" w:hRule="exact"/>
        </w:trPr>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197 019,03</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49 254,76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9 840,43</w:t>
            </w:r>
          </w:p>
        </w:tc>
        <w:tc>
          <w:tcPr>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cs-CZ" w:eastAsia="cs-CZ" w:bidi="cs-CZ"/>
              </w:rPr>
              <w:t>59 095,19</w:t>
            </w:r>
          </w:p>
        </w:tc>
      </w:tr>
    </w:tbl>
    <w:p>
      <w:pPr>
        <w:widowControl w:val="0"/>
        <w:spacing w:after="419" w:line="1" w:lineRule="exact"/>
      </w:pP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 čl. VI. odst. 1 smlouvy se doplňuje text: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Výše čtvrtletního nájemného od 1.1.2025 činí 59 095,19 Kč vč. DPH. Vyúčtování doplatku nájemného za 1. čtvrtletí roku 2025 proběhne při vyúčtování nájemného za 2. čtvrtletí roku 2025 podle daňového dokladu a údajů v něm uvedených.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Nájemné a služby ve výši jednoho čtvrtletního nájmu vč. DPH bude placeno pronajímateli podle daňového dokladu a údajů v něm uvedených vždy do 15. dne předchozího měsíce.</w:t>
      </w:r>
      <w:r>
        <w:br w:type="page"/>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Ostatní ujednání smlouvy o nájmu prostor sloužících k podnikání zůstávají nezměněna.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Dodatek č. 14 je vyhotoven ve 3 stejnopisech, přičemž nájemce obdrží 1 oboustranně podepsaný výtisk a pronajímatel po 2 oboustranně podepsaných výtiscích.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Dodatek č. 14 smlouvy č. 1047/2016 nabývá platnosti dnem jeho podpisu poslední ze smluvních stran a účinnosti zveřejněním v Registru smluv.</w:t>
      </w:r>
    </w:p>
    <w:p>
      <w:pPr>
        <w:widowControl w:val="0"/>
        <w:spacing w:line="1" w:lineRule="exact"/>
      </w:pPr>
      <w:r>
        <mc:AlternateContent>
          <mc:Choice Requires="wps">
            <w:drawing>
              <wp:anchor distT="457200" distB="0" distL="0" distR="0" simplePos="0" relativeHeight="125829378" behindDoc="0" locked="0" layoutInCell="1" allowOverlap="1">
                <wp:simplePos x="0" y="0"/>
                <wp:positionH relativeFrom="page">
                  <wp:posOffset>706755</wp:posOffset>
                </wp:positionH>
                <wp:positionV relativeFrom="paragraph">
                  <wp:posOffset>457200</wp:posOffset>
                </wp:positionV>
                <wp:extent cx="1566545" cy="210185"/>
                <wp:wrapTopAndBottom/>
                <wp:docPr id="1" name="Shape 1"/>
                <a:graphic xmlns:a="http://schemas.openxmlformats.org/drawingml/2006/main">
                  <a:graphicData uri="http://schemas.microsoft.com/office/word/2010/wordprocessingShape">
                    <wps:wsp>
                      <wps:cNvSpPr txBox="1"/>
                      <wps:spPr>
                        <a:xfrm>
                          <a:ext cx="1566545"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649999999999999pt;margin-top:36.pt;width:123.35000000000001pt;height:16.550000000000001pt;z-index:-125829375;mso-wrap-distance-left:0;mso-wrap-distance-top:36.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w:t>
                      </w:r>
                    </w:p>
                  </w:txbxContent>
                </v:textbox>
                <w10:wrap type="topAndBottom" anchorx="page"/>
              </v:shape>
            </w:pict>
          </mc:Fallback>
        </mc:AlternateContent>
      </w:r>
      <w:r>
        <mc:AlternateContent>
          <mc:Choice Requires="wps">
            <w:drawing>
              <wp:anchor distT="457200" distB="0" distL="0" distR="0" simplePos="0" relativeHeight="125829380" behindDoc="0" locked="0" layoutInCell="1" allowOverlap="1">
                <wp:simplePos x="0" y="0"/>
                <wp:positionH relativeFrom="page">
                  <wp:posOffset>4306570</wp:posOffset>
                </wp:positionH>
                <wp:positionV relativeFrom="paragraph">
                  <wp:posOffset>457200</wp:posOffset>
                </wp:positionV>
                <wp:extent cx="1758950" cy="210185"/>
                <wp:wrapTopAndBottom/>
                <wp:docPr id="3" name="Shape 3"/>
                <a:graphic xmlns:a="http://schemas.openxmlformats.org/drawingml/2006/main">
                  <a:graphicData uri="http://schemas.microsoft.com/office/word/2010/wordprocessingShape">
                    <wps:wsp>
                      <wps:cNvSpPr txBox="1"/>
                      <wps:spPr>
                        <a:xfrm>
                          <a:ext cx="175895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txbxContent>
                      </wps:txbx>
                      <wps:bodyPr wrap="none" lIns="0" tIns="0" rIns="0" bIns="0">
                        <a:noAutoFit/>
                      </wps:bodyPr>
                    </wps:wsp>
                  </a:graphicData>
                </a:graphic>
              </wp:anchor>
            </w:drawing>
          </mc:Choice>
          <mc:Fallback>
            <w:pict>
              <v:shape id="_x0000_s1029" type="#_x0000_t202" style="position:absolute;margin-left:339.10000000000002pt;margin-top:36.pt;width:138.5pt;height:16.550000000000001pt;z-index:-125829373;mso-wrap-distance-left:0;mso-wrap-distance-top:36.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txbxContent>
                </v:textbox>
                <w10:wrap type="topAndBottom" anchorx="page"/>
              </v:shape>
            </w:pict>
          </mc:Fallback>
        </mc:AlternateContent>
      </w:r>
    </w:p>
    <w:p>
      <w:pPr>
        <w:pStyle w:val="Style2"/>
        <w:keepNext w:val="0"/>
        <w:keepLines w:val="0"/>
        <w:widowControl w:val="0"/>
        <w:shd w:val="clear" w:color="auto" w:fill="auto"/>
        <w:tabs>
          <w:tab w:leader="hyphen" w:pos="2530" w:val="left"/>
        </w:tabs>
        <w:bidi w:val="0"/>
        <w:spacing w:before="0" w:after="400" w:line="240" w:lineRule="auto"/>
        <w:ind w:left="740" w:right="0" w:hanging="740"/>
        <w:jc w:val="left"/>
      </w:pPr>
      <w:r>
        <w:rPr>
          <w:color w:val="000000"/>
          <w:spacing w:val="0"/>
          <w:w w:val="100"/>
          <w:position w:val="0"/>
          <w:shd w:val="clear" w:color="auto" w:fill="auto"/>
          <w:lang w:val="cs-CZ" w:eastAsia="cs-CZ" w:bidi="cs-CZ"/>
        </w:rPr>
        <w:tab/>
        <w:t xml:space="preserve"> za nájemce</w:t>
      </w:r>
    </w:p>
    <w:p>
      <w:pPr>
        <w:pStyle w:val="Style2"/>
        <w:keepNext w:val="0"/>
        <w:keepLines w:val="0"/>
        <w:widowControl w:val="0"/>
        <w:shd w:val="clear" w:color="auto" w:fill="auto"/>
        <w:bidi w:val="0"/>
        <w:spacing w:before="0" w:line="240" w:lineRule="auto"/>
        <w:ind w:left="0" w:right="0" w:firstLine="180"/>
        <w:jc w:val="left"/>
      </w:pPr>
      <w:r>
        <w:rPr>
          <w:color w:val="000000"/>
          <w:spacing w:val="0"/>
          <w:w w:val="100"/>
          <w:position w:val="0"/>
          <w:shd w:val="clear" w:color="auto" w:fill="auto"/>
          <w:lang w:val="cs-CZ" w:eastAsia="cs-CZ" w:bidi="cs-CZ"/>
        </w:rPr>
        <w:t>VLTAVA LABE MEDIA a.s.</w:t>
      </w:r>
    </w:p>
    <w:p>
      <w:pPr>
        <w:pStyle w:val="Style2"/>
        <w:keepNext w:val="0"/>
        <w:keepLines w:val="0"/>
        <w:widowControl w:val="0"/>
        <w:shd w:val="clear" w:color="auto" w:fill="auto"/>
        <w:tabs>
          <w:tab w:leader="hyphen" w:pos="2798" w:val="left"/>
        </w:tabs>
        <w:bidi w:val="0"/>
        <w:spacing w:before="0" w:after="400" w:line="240" w:lineRule="auto"/>
        <w:ind w:left="0" w:right="0" w:firstLine="0"/>
        <w:jc w:val="center"/>
      </w:pPr>
      <w:r>
        <w:rPr>
          <w:color w:val="000000"/>
          <w:spacing w:val="0"/>
          <w:w w:val="100"/>
          <w:position w:val="0"/>
          <w:shd w:val="clear" w:color="auto" w:fill="auto"/>
          <w:lang w:val="cs-CZ" w:eastAsia="cs-CZ" w:bidi="cs-CZ"/>
        </w:rPr>
        <w:tab/>
        <w:br/>
        <w:t>za pronajímatele</w:t>
      </w:r>
    </w:p>
    <w:p>
      <w:pPr>
        <w:pStyle w:val="Style2"/>
        <w:keepNext w:val="0"/>
        <w:keepLines w:val="0"/>
        <w:widowControl w:val="0"/>
        <w:shd w:val="clear" w:color="auto" w:fill="auto"/>
        <w:bidi w:val="0"/>
        <w:spacing w:before="0" w:line="240" w:lineRule="auto"/>
        <w:ind w:left="602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leader="hyphen" w:pos="2530" w:val="left"/>
        </w:tabs>
        <w:bidi w:val="0"/>
        <w:spacing w:before="0" w:after="400" w:line="240" w:lineRule="auto"/>
        <w:ind w:left="740" w:right="0" w:hanging="740"/>
        <w:jc w:val="left"/>
      </w:pPr>
      <w:r>
        <w:rPr>
          <w:color w:val="000000"/>
          <w:spacing w:val="0"/>
          <w:w w:val="100"/>
          <w:position w:val="0"/>
          <w:shd w:val="clear" w:color="auto" w:fill="auto"/>
          <w:lang w:val="cs-CZ" w:eastAsia="cs-CZ" w:bidi="cs-CZ"/>
        </w:rPr>
        <w:tab/>
        <w:t xml:space="preserve"> za nájemce</w:t>
      </w:r>
    </w:p>
    <w:p>
      <w:pPr>
        <w:pStyle w:val="Style2"/>
        <w:keepNext w:val="0"/>
        <w:keepLines w:val="0"/>
        <w:widowControl w:val="0"/>
        <w:shd w:val="clear" w:color="auto" w:fill="auto"/>
        <w:bidi w:val="0"/>
        <w:spacing w:before="0" w:after="400" w:line="240" w:lineRule="auto"/>
        <w:ind w:left="0" w:right="0" w:firstLine="180"/>
        <w:jc w:val="left"/>
      </w:pPr>
      <w:r>
        <w:rPr>
          <w:color w:val="000000"/>
          <w:spacing w:val="0"/>
          <w:w w:val="100"/>
          <w:position w:val="0"/>
          <w:shd w:val="clear" w:color="auto" w:fill="auto"/>
          <w:lang w:val="cs-CZ" w:eastAsia="cs-CZ" w:bidi="cs-CZ"/>
        </w:rPr>
        <w:t>VLTAVA LABE MEDIA a.s.</w:t>
      </w:r>
    </w:p>
    <w:sectPr>
      <w:footerReference w:type="default" r:id="rId5"/>
      <w:footnotePr>
        <w:pos w:val="pageBottom"/>
        <w:numFmt w:val="decimal"/>
        <w:numRestart w:val="continuous"/>
      </w:footnotePr>
      <w:pgSz w:w="11909" w:h="16838"/>
      <w:pgMar w:top="1017" w:left="1041" w:right="1215" w:bottom="1028" w:header="58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3696335</wp:posOffset>
              </wp:positionH>
              <wp:positionV relativeFrom="page">
                <wp:posOffset>10102215</wp:posOffset>
              </wp:positionV>
              <wp:extent cx="60960" cy="170815"/>
              <wp:wrapNone/>
              <wp:docPr id="5" name="Shape 5"/>
              <a:graphic xmlns:a="http://schemas.openxmlformats.org/drawingml/2006/main">
                <a:graphicData uri="http://schemas.microsoft.com/office/word/2010/wordprocessingShape">
                  <wps:wsp>
                    <wps:cNvSpPr txBox="1"/>
                    <wps:spPr>
                      <a:xfrm>
                        <a:ext cx="6096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91.05000000000001pt;margin-top:795.45000000000005pt;width:4.79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uzavření budoucí smlouvy o nájmu nebytových prostor</dc:title>
  <dc:subject/>
  <dc:creator>PO</dc:creator>
  <cp:keywords/>
</cp:coreProperties>
</file>