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49BE" w14:textId="77777777" w:rsidR="003D5E05" w:rsidRDefault="00245808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Příkazní smlouva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1"/>
        <w:gridCol w:w="5861"/>
      </w:tblGrid>
      <w:tr w:rsidR="003D5E05" w14:paraId="6C061B77" w14:textId="77777777">
        <w:tblPrEx>
          <w:tblCellMar>
            <w:top w:w="0" w:type="dxa"/>
            <w:bottom w:w="0" w:type="dxa"/>
          </w:tblCellMar>
        </w:tblPrEx>
        <w:trPr>
          <w:trHeight w:hRule="exact" w:val="929"/>
          <w:jc w:val="center"/>
        </w:trPr>
        <w:tc>
          <w:tcPr>
            <w:tcW w:w="2441" w:type="dxa"/>
            <w:shd w:val="clear" w:color="auto" w:fill="auto"/>
          </w:tcPr>
          <w:p w14:paraId="56B3F7EE" w14:textId="77777777" w:rsidR="003D5E05" w:rsidRDefault="00245808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Název:</w:t>
            </w:r>
          </w:p>
        </w:tc>
        <w:tc>
          <w:tcPr>
            <w:tcW w:w="5861" w:type="dxa"/>
            <w:shd w:val="clear" w:color="auto" w:fill="auto"/>
          </w:tcPr>
          <w:p w14:paraId="513B53AE" w14:textId="77777777" w:rsidR="003D5E05" w:rsidRDefault="00245808">
            <w:pPr>
              <w:pStyle w:val="Other10"/>
              <w:spacing w:after="0" w:line="276" w:lineRule="auto"/>
              <w:ind w:left="320" w:firstLine="20"/>
            </w:pPr>
            <w:r>
              <w:rPr>
                <w:rStyle w:val="Other1"/>
                <w:b/>
                <w:bCs/>
              </w:rPr>
              <w:t xml:space="preserve">Česká </w:t>
            </w:r>
            <w:proofErr w:type="gramStart"/>
            <w:r>
              <w:rPr>
                <w:rStyle w:val="Other1"/>
                <w:b/>
                <w:bCs/>
              </w:rPr>
              <w:t>republika - Úřad</w:t>
            </w:r>
            <w:proofErr w:type="gramEnd"/>
            <w:r>
              <w:rPr>
                <w:rStyle w:val="Other1"/>
                <w:b/>
                <w:bCs/>
              </w:rPr>
              <w:t xml:space="preserve"> pro technickou normalizaci, metrologii a státní zkušebnictví, organizační složka státu</w:t>
            </w:r>
          </w:p>
        </w:tc>
      </w:tr>
      <w:tr w:rsidR="003D5E05" w14:paraId="1B32ABCD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441" w:type="dxa"/>
            <w:shd w:val="clear" w:color="auto" w:fill="auto"/>
          </w:tcPr>
          <w:p w14:paraId="41589B97" w14:textId="77777777" w:rsidR="003D5E05" w:rsidRDefault="00245808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Sídlo:</w:t>
            </w:r>
          </w:p>
        </w:tc>
        <w:tc>
          <w:tcPr>
            <w:tcW w:w="5861" w:type="dxa"/>
            <w:shd w:val="clear" w:color="auto" w:fill="auto"/>
          </w:tcPr>
          <w:p w14:paraId="7F55D754" w14:textId="77777777" w:rsidR="003D5E05" w:rsidRDefault="00245808">
            <w:pPr>
              <w:pStyle w:val="Other10"/>
              <w:spacing w:after="0" w:line="240" w:lineRule="auto"/>
              <w:ind w:firstLine="320"/>
            </w:pPr>
            <w:r>
              <w:rPr>
                <w:rStyle w:val="Other1"/>
              </w:rPr>
              <w:t>Biskupský dvůr 1148/5,110 00 Praha 1</w:t>
            </w:r>
          </w:p>
        </w:tc>
      </w:tr>
      <w:tr w:rsidR="003D5E05" w14:paraId="0F1DB42E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441" w:type="dxa"/>
            <w:shd w:val="clear" w:color="auto" w:fill="auto"/>
          </w:tcPr>
          <w:p w14:paraId="01F59BBD" w14:textId="77777777" w:rsidR="003D5E05" w:rsidRDefault="00245808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IČO:</w:t>
            </w:r>
          </w:p>
        </w:tc>
        <w:tc>
          <w:tcPr>
            <w:tcW w:w="5861" w:type="dxa"/>
            <w:shd w:val="clear" w:color="auto" w:fill="auto"/>
          </w:tcPr>
          <w:p w14:paraId="466440FB" w14:textId="77777777" w:rsidR="003D5E05" w:rsidRDefault="00245808">
            <w:pPr>
              <w:pStyle w:val="Other10"/>
              <w:spacing w:after="0" w:line="240" w:lineRule="auto"/>
              <w:ind w:firstLine="320"/>
            </w:pPr>
            <w:r>
              <w:rPr>
                <w:rStyle w:val="Other1"/>
              </w:rPr>
              <w:t>48135267</w:t>
            </w:r>
          </w:p>
        </w:tc>
      </w:tr>
      <w:tr w:rsidR="003D5E05" w14:paraId="3BCD93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441" w:type="dxa"/>
            <w:shd w:val="clear" w:color="auto" w:fill="auto"/>
          </w:tcPr>
          <w:p w14:paraId="01960EC6" w14:textId="77777777" w:rsidR="003D5E05" w:rsidRDefault="00245808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Zástupce:</w:t>
            </w:r>
          </w:p>
        </w:tc>
        <w:tc>
          <w:tcPr>
            <w:tcW w:w="5861" w:type="dxa"/>
            <w:shd w:val="clear" w:color="auto" w:fill="auto"/>
          </w:tcPr>
          <w:p w14:paraId="74C16F09" w14:textId="77777777" w:rsidR="003D5E05" w:rsidRDefault="00245808">
            <w:pPr>
              <w:pStyle w:val="Other10"/>
              <w:spacing w:after="0" w:line="240" w:lineRule="auto"/>
              <w:ind w:firstLine="320"/>
            </w:pPr>
            <w:r>
              <w:rPr>
                <w:rStyle w:val="Other1"/>
              </w:rPr>
              <w:t>Ing. Jiří Kratochvíl, předseda úřadu</w:t>
            </w:r>
          </w:p>
        </w:tc>
      </w:tr>
    </w:tbl>
    <w:p w14:paraId="589E6670" w14:textId="77777777" w:rsidR="003D5E05" w:rsidRDefault="00245808">
      <w:pPr>
        <w:pStyle w:val="Tablecaption10"/>
      </w:pPr>
      <w:r>
        <w:rPr>
          <w:rStyle w:val="Tablecaption1"/>
        </w:rPr>
        <w:t xml:space="preserve">(dále jen </w:t>
      </w:r>
      <w:r>
        <w:rPr>
          <w:rStyle w:val="Tablecaption1"/>
          <w:b/>
          <w:bCs/>
        </w:rPr>
        <w:t>„Příkazce")</w:t>
      </w:r>
    </w:p>
    <w:p w14:paraId="4FCCB15A" w14:textId="77777777" w:rsidR="003D5E05" w:rsidRDefault="003D5E05">
      <w:pPr>
        <w:spacing w:after="919" w:line="1" w:lineRule="exact"/>
      </w:pPr>
    </w:p>
    <w:p w14:paraId="7ABC9B4A" w14:textId="77777777" w:rsidR="003D5E05" w:rsidRDefault="00245808">
      <w:pPr>
        <w:pStyle w:val="Bodytext10"/>
        <w:spacing w:after="0" w:line="30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993995C" wp14:editId="0E6F3C89">
                <wp:simplePos x="0" y="0"/>
                <wp:positionH relativeFrom="page">
                  <wp:posOffset>1014095</wp:posOffset>
                </wp:positionH>
                <wp:positionV relativeFrom="paragraph">
                  <wp:posOffset>12700</wp:posOffset>
                </wp:positionV>
                <wp:extent cx="1631950" cy="15773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157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092CCA" w14:textId="77777777" w:rsidR="003D5E05" w:rsidRDefault="00245808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Název/Jméno příjmení:</w:t>
                            </w:r>
                          </w:p>
                          <w:p w14:paraId="42083D50" w14:textId="77777777" w:rsidR="003D5E05" w:rsidRDefault="00245808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Sídlo:</w:t>
                            </w:r>
                          </w:p>
                          <w:p w14:paraId="512510AF" w14:textId="77777777" w:rsidR="003D5E05" w:rsidRDefault="00245808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IČO:</w:t>
                            </w:r>
                          </w:p>
                          <w:p w14:paraId="15FDF5A0" w14:textId="77777777" w:rsidR="003D5E05" w:rsidRDefault="00245808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Zástupce:</w:t>
                            </w:r>
                          </w:p>
                          <w:p w14:paraId="4AC4ABC1" w14:textId="77777777" w:rsidR="003D5E05" w:rsidRDefault="00245808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Zápis v rejstříku:</w:t>
                            </w:r>
                          </w:p>
                          <w:p w14:paraId="75FDE087" w14:textId="77777777" w:rsidR="003D5E05" w:rsidRDefault="00245808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E-mail:</w:t>
                            </w:r>
                          </w:p>
                          <w:p w14:paraId="279B9DF2" w14:textId="77777777" w:rsidR="003D5E05" w:rsidRDefault="00245808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Kontaktní osoba:</w:t>
                            </w:r>
                          </w:p>
                          <w:p w14:paraId="18070CFB" w14:textId="77777777" w:rsidR="003D5E05" w:rsidRDefault="00245808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(dále jen 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„Příkazník")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93995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9.85pt;margin-top:1pt;width:128.5pt;height:124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" filled="f" stroked="f">
                <v:textbox inset="0,0,0,0">
                  <w:txbxContent>
                    <w:p w14:paraId="73092CCA" w14:textId="77777777" w:rsidR="003D5E05" w:rsidRDefault="00245808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Název/Jméno příjmení:</w:t>
                      </w:r>
                    </w:p>
                    <w:p w14:paraId="42083D50" w14:textId="77777777" w:rsidR="003D5E05" w:rsidRDefault="00245808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Sídlo:</w:t>
                      </w:r>
                    </w:p>
                    <w:p w14:paraId="512510AF" w14:textId="77777777" w:rsidR="003D5E05" w:rsidRDefault="00245808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IČO:</w:t>
                      </w:r>
                    </w:p>
                    <w:p w14:paraId="15FDF5A0" w14:textId="77777777" w:rsidR="003D5E05" w:rsidRDefault="00245808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Zástupce:</w:t>
                      </w:r>
                    </w:p>
                    <w:p w14:paraId="4AC4ABC1" w14:textId="77777777" w:rsidR="003D5E05" w:rsidRDefault="00245808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Zápis v rejstříku:</w:t>
                      </w:r>
                    </w:p>
                    <w:p w14:paraId="75FDE087" w14:textId="77777777" w:rsidR="003D5E05" w:rsidRDefault="00245808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E-mail:</w:t>
                      </w:r>
                    </w:p>
                    <w:p w14:paraId="279B9DF2" w14:textId="77777777" w:rsidR="003D5E05" w:rsidRDefault="00245808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Kontaktní osoba:</w:t>
                      </w:r>
                    </w:p>
                    <w:p w14:paraId="18070CFB" w14:textId="77777777" w:rsidR="003D5E05" w:rsidRDefault="00245808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 xml:space="preserve">(dále jen 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t>„Příkazník")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  <w:b/>
          <w:bCs/>
          <w:sz w:val="22"/>
          <w:szCs w:val="22"/>
        </w:rPr>
        <w:t>Institut pro testování a certifikaci, a.s.</w:t>
      </w:r>
    </w:p>
    <w:p w14:paraId="309E5EAB" w14:textId="77777777" w:rsidR="003D5E05" w:rsidRDefault="00245808">
      <w:pPr>
        <w:pStyle w:val="Bodytext10"/>
        <w:spacing w:after="0" w:line="276" w:lineRule="auto"/>
        <w:jc w:val="both"/>
      </w:pPr>
      <w:r>
        <w:rPr>
          <w:rStyle w:val="Bodytext1"/>
        </w:rPr>
        <w:t>třída Tomáše Bati 299, 763 02 Zlín</w:t>
      </w:r>
    </w:p>
    <w:p w14:paraId="46A29878" w14:textId="77777777" w:rsidR="003D5E05" w:rsidRDefault="00245808">
      <w:pPr>
        <w:pStyle w:val="Bodytext10"/>
        <w:spacing w:after="0" w:line="276" w:lineRule="auto"/>
        <w:jc w:val="both"/>
      </w:pPr>
      <w:r>
        <w:rPr>
          <w:rStyle w:val="Bodytext1"/>
        </w:rPr>
        <w:t>47910381</w:t>
      </w:r>
    </w:p>
    <w:p w14:paraId="66BFFEF8" w14:textId="77777777" w:rsidR="003D5E05" w:rsidRDefault="00245808">
      <w:pPr>
        <w:pStyle w:val="Bodytext10"/>
        <w:spacing w:after="0" w:line="276" w:lineRule="auto"/>
      </w:pPr>
      <w:r>
        <w:rPr>
          <w:rStyle w:val="Bodytext1"/>
        </w:rPr>
        <w:t xml:space="preserve">Mgr. Jiří Heš, </w:t>
      </w:r>
      <w:r>
        <w:rPr>
          <w:rStyle w:val="Bodytext1"/>
        </w:rPr>
        <w:t>generální ředitel</w:t>
      </w:r>
    </w:p>
    <w:p w14:paraId="6EA565F4" w14:textId="77777777" w:rsidR="003D5E05" w:rsidRDefault="00245808">
      <w:pPr>
        <w:pStyle w:val="Bodytext10"/>
        <w:spacing w:after="0" w:line="276" w:lineRule="auto"/>
      </w:pPr>
      <w:r>
        <w:rPr>
          <w:rStyle w:val="Bodytext1"/>
        </w:rPr>
        <w:t xml:space="preserve">B1002 vedená u krajského soudu v Brně </w:t>
      </w:r>
      <w:hyperlink r:id="rId7" w:history="1">
        <w:r>
          <w:rPr>
            <w:rStyle w:val="Bodytext1"/>
            <w:lang w:val="en-US" w:eastAsia="en-US" w:bidi="en-US"/>
          </w:rPr>
          <w:t>itc@itczlin.cz</w:t>
        </w:r>
      </w:hyperlink>
    </w:p>
    <w:p w14:paraId="5A453720" w14:textId="77777777" w:rsidR="003D5E05" w:rsidRDefault="00245808">
      <w:pPr>
        <w:pStyle w:val="Bodytext10"/>
        <w:spacing w:after="300" w:line="276" w:lineRule="auto"/>
      </w:pPr>
      <w:r w:rsidRPr="00245808">
        <w:rPr>
          <w:rStyle w:val="Bodytext1"/>
          <w:highlight w:val="black"/>
        </w:rPr>
        <w:t>Ing. Marie Kohlová, Ing. Alice Čalová uzavírají</w:t>
      </w:r>
      <w:r>
        <w:rPr>
          <w:rStyle w:val="Bodytext1"/>
        </w:rPr>
        <w:t>, ve smyslu ustanovení § 2430 a násl. zákona č. 89/2012 Sb., občanský zákoník, ve znění pozdějších předpisů, tuto</w:t>
      </w:r>
    </w:p>
    <w:p w14:paraId="2C60BFA3" w14:textId="77777777" w:rsidR="003D5E05" w:rsidRDefault="00245808">
      <w:pPr>
        <w:pStyle w:val="Bodytext10"/>
        <w:spacing w:after="0" w:line="240" w:lineRule="auto"/>
        <w:jc w:val="center"/>
      </w:pPr>
      <w:r>
        <w:rPr>
          <w:rStyle w:val="Bodytext1"/>
          <w:b/>
          <w:bCs/>
        </w:rPr>
        <w:t>příkazní smlouvu</w:t>
      </w:r>
    </w:p>
    <w:p w14:paraId="16A4911B" w14:textId="77777777" w:rsidR="003D5E05" w:rsidRDefault="00245808">
      <w:pPr>
        <w:pStyle w:val="Bodytext10"/>
        <w:spacing w:after="480" w:line="240" w:lineRule="auto"/>
        <w:jc w:val="center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„Smlouva")</w:t>
      </w:r>
    </w:p>
    <w:p w14:paraId="425F77D3" w14:textId="77777777" w:rsidR="003D5E05" w:rsidRDefault="00245808">
      <w:pPr>
        <w:pStyle w:val="Heading310"/>
        <w:keepNext/>
        <w:keepLines/>
        <w:numPr>
          <w:ilvl w:val="0"/>
          <w:numId w:val="1"/>
        </w:numPr>
        <w:tabs>
          <w:tab w:val="left" w:pos="358"/>
        </w:tabs>
      </w:pPr>
      <w:bookmarkStart w:id="1" w:name="bookmark2"/>
      <w:r>
        <w:rPr>
          <w:rStyle w:val="Heading31"/>
          <w:b/>
          <w:bCs/>
        </w:rPr>
        <w:t>Obecná ustanovení</w:t>
      </w:r>
      <w:bookmarkEnd w:id="1"/>
    </w:p>
    <w:p w14:paraId="6384AA46" w14:textId="77777777" w:rsidR="003D5E05" w:rsidRDefault="00245808">
      <w:pPr>
        <w:pStyle w:val="Bodytext10"/>
        <w:numPr>
          <w:ilvl w:val="1"/>
          <w:numId w:val="1"/>
        </w:numPr>
        <w:tabs>
          <w:tab w:val="left" w:pos="677"/>
        </w:tabs>
        <w:spacing w:line="276" w:lineRule="auto"/>
        <w:ind w:left="680" w:hanging="680"/>
        <w:jc w:val="both"/>
      </w:pPr>
      <w:r>
        <w:rPr>
          <w:rStyle w:val="Bodytext1"/>
        </w:rPr>
        <w:t>Smluvní strany prohlašují, že jsou oprávněny uzavřít tuto Smlouvu a plnit povinnosti z ní vyplývající.</w:t>
      </w:r>
    </w:p>
    <w:p w14:paraId="73852A59" w14:textId="77777777" w:rsidR="003D5E05" w:rsidRDefault="00245808">
      <w:pPr>
        <w:pStyle w:val="Bodytext10"/>
        <w:numPr>
          <w:ilvl w:val="1"/>
          <w:numId w:val="1"/>
        </w:numPr>
        <w:tabs>
          <w:tab w:val="left" w:pos="677"/>
        </w:tabs>
        <w:spacing w:line="266" w:lineRule="auto"/>
        <w:ind w:left="680" w:hanging="680"/>
        <w:jc w:val="both"/>
      </w:pPr>
      <w:r>
        <w:rPr>
          <w:rStyle w:val="Bodytext1"/>
        </w:rPr>
        <w:t xml:space="preserve">Příkazce prohlašuje, že je správní úřad se </w:t>
      </w:r>
      <w:r>
        <w:rPr>
          <w:rStyle w:val="Bodytext1"/>
        </w:rPr>
        <w:t>sídlem v Praze, který je podřízen Ministerstvu průmyslu a obchodu, zřízen na základě zákona č. 20/1993 Sb., o zabezpečení výkonu státní správy v oblasti technické normalizace, metrologie a státního zkušebnictví, ve znění pozdějších předpisů.</w:t>
      </w:r>
    </w:p>
    <w:p w14:paraId="56B6A040" w14:textId="77777777" w:rsidR="003D5E05" w:rsidRDefault="00245808">
      <w:pPr>
        <w:pStyle w:val="Bodytext10"/>
        <w:numPr>
          <w:ilvl w:val="1"/>
          <w:numId w:val="1"/>
        </w:numPr>
        <w:tabs>
          <w:tab w:val="left" w:pos="677"/>
        </w:tabs>
        <w:spacing w:after="440"/>
        <w:ind w:left="680" w:hanging="680"/>
        <w:jc w:val="both"/>
        <w:rPr>
          <w:rStyle w:val="Bodytext1"/>
        </w:rPr>
      </w:pPr>
      <w:r>
        <w:rPr>
          <w:rStyle w:val="Bodytext1"/>
        </w:rPr>
        <w:t>Příkazce se ve spolupráci s Ministerstvem průmyslu a obchodu České republiky podílí na rozvoji zkušebnictví v České republice v rámci Programu rozvoje zkušebnictví (PRZ), který vychází z potřeb systému posuzování shody v regulované sféře, zejména pak z potřeb zabezpečení činnosti autorizovaných/notifikovaných osob, oznámených subjektů a uznaných nezávislých organizací, přičemž zohledňuje i potřeby zahraniční spolupráce pro daný kalendářní rok.</w:t>
      </w:r>
    </w:p>
    <w:p w14:paraId="5C4D66AC" w14:textId="77777777" w:rsidR="00245808" w:rsidRDefault="00245808" w:rsidP="00245808">
      <w:pPr>
        <w:pStyle w:val="Bodytext10"/>
        <w:tabs>
          <w:tab w:val="left" w:pos="677"/>
        </w:tabs>
        <w:spacing w:after="440"/>
        <w:ind w:left="680"/>
        <w:jc w:val="both"/>
      </w:pPr>
    </w:p>
    <w:p w14:paraId="372EA446" w14:textId="77777777" w:rsidR="003D5E05" w:rsidRDefault="00245808">
      <w:pPr>
        <w:pStyle w:val="Heading310"/>
        <w:keepNext/>
        <w:keepLines/>
        <w:numPr>
          <w:ilvl w:val="0"/>
          <w:numId w:val="1"/>
        </w:numPr>
        <w:tabs>
          <w:tab w:val="left" w:pos="346"/>
        </w:tabs>
      </w:pPr>
      <w:bookmarkStart w:id="2" w:name="bookmark4"/>
      <w:r>
        <w:rPr>
          <w:rStyle w:val="Heading31"/>
          <w:b/>
          <w:bCs/>
        </w:rPr>
        <w:lastRenderedPageBreak/>
        <w:t>Předmět Smlouvy</w:t>
      </w:r>
      <w:bookmarkEnd w:id="2"/>
    </w:p>
    <w:p w14:paraId="1360CFEC" w14:textId="77777777" w:rsidR="003D5E05" w:rsidRDefault="00245808">
      <w:pPr>
        <w:pStyle w:val="Bodytext10"/>
        <w:numPr>
          <w:ilvl w:val="1"/>
          <w:numId w:val="1"/>
        </w:numPr>
        <w:tabs>
          <w:tab w:val="left" w:pos="686"/>
        </w:tabs>
        <w:ind w:left="660" w:hanging="660"/>
        <w:jc w:val="both"/>
      </w:pPr>
      <w:r>
        <w:rPr>
          <w:rStyle w:val="Bodytext1"/>
        </w:rPr>
        <w:t xml:space="preserve">Příkazník se na základě této Smlouvy zavazuje obstarat pro Příkazce následující úkoly za podmínek uvedených v této Smlouvě, které spočívají v aktualizaci Informačního </w:t>
      </w:r>
      <w:proofErr w:type="gramStart"/>
      <w:r>
        <w:rPr>
          <w:rStyle w:val="Bodytext1"/>
        </w:rPr>
        <w:t>portálu - Stavební</w:t>
      </w:r>
      <w:proofErr w:type="gramEnd"/>
      <w:r>
        <w:rPr>
          <w:rStyle w:val="Bodytext1"/>
        </w:rPr>
        <w:t xml:space="preserve"> výrobky (dále jen </w:t>
      </w:r>
      <w:r>
        <w:rPr>
          <w:rStyle w:val="Bodytext1"/>
          <w:b/>
          <w:bCs/>
        </w:rPr>
        <w:t>„Úkol").</w:t>
      </w:r>
    </w:p>
    <w:p w14:paraId="041556F2" w14:textId="77777777" w:rsidR="003D5E05" w:rsidRDefault="00245808">
      <w:pPr>
        <w:pStyle w:val="Bodytext10"/>
        <w:numPr>
          <w:ilvl w:val="1"/>
          <w:numId w:val="1"/>
        </w:numPr>
        <w:tabs>
          <w:tab w:val="left" w:pos="686"/>
        </w:tabs>
        <w:spacing w:after="440"/>
        <w:ind w:left="660" w:hanging="660"/>
        <w:jc w:val="both"/>
      </w:pPr>
      <w:r>
        <w:rPr>
          <w:rStyle w:val="Bodytext1"/>
        </w:rPr>
        <w:t>Příkazce uhradí Příkazníkovi za uvedenou činnost odměnu.</w:t>
      </w:r>
    </w:p>
    <w:p w14:paraId="41B53CF5" w14:textId="77777777" w:rsidR="003D5E05" w:rsidRDefault="00245808">
      <w:pPr>
        <w:pStyle w:val="Heading310"/>
        <w:keepNext/>
        <w:keepLines/>
        <w:numPr>
          <w:ilvl w:val="0"/>
          <w:numId w:val="1"/>
        </w:numPr>
        <w:tabs>
          <w:tab w:val="left" w:pos="346"/>
        </w:tabs>
      </w:pPr>
      <w:bookmarkStart w:id="3" w:name="bookmark6"/>
      <w:r>
        <w:rPr>
          <w:rStyle w:val="Heading31"/>
          <w:b/>
          <w:bCs/>
        </w:rPr>
        <w:t>Specifikace Úkolu</w:t>
      </w:r>
      <w:bookmarkEnd w:id="3"/>
    </w:p>
    <w:p w14:paraId="60F061F0" w14:textId="77777777" w:rsidR="003D5E05" w:rsidRDefault="00245808">
      <w:pPr>
        <w:pStyle w:val="Bodytext10"/>
        <w:numPr>
          <w:ilvl w:val="1"/>
          <w:numId w:val="1"/>
        </w:numPr>
        <w:tabs>
          <w:tab w:val="left" w:pos="686"/>
        </w:tabs>
        <w:spacing w:after="0" w:line="271" w:lineRule="auto"/>
        <w:ind w:left="660" w:hanging="660"/>
        <w:jc w:val="both"/>
      </w:pPr>
      <w:r>
        <w:rPr>
          <w:rStyle w:val="Bodytext1"/>
        </w:rPr>
        <w:t xml:space="preserve">Příkazník bude správcovským způsobem zajišťovat pravidelnou měsíční aktualizaci Informačního portálu ÚNMZ pro stavební výrobky včetně databáze harmonizovaných norem, databáze evropských dokumentů pro posuzování, a dalších pokynů Příkazce. Podmínky používání podkladů umístěných na </w:t>
      </w:r>
      <w:hyperlink r:id="rId8" w:history="1">
        <w:r>
          <w:rPr>
            <w:rStyle w:val="Bodytext1"/>
            <w:color w:val="4773B1"/>
            <w:u w:val="single"/>
            <w:lang w:val="en-US" w:eastAsia="en-US" w:bidi="en-US"/>
          </w:rPr>
          <w:t>www.nlfnorm.cz</w:t>
        </w:r>
      </w:hyperlink>
      <w:r>
        <w:rPr>
          <w:rStyle w:val="Bodytext1"/>
          <w:color w:val="4773B1"/>
          <w:lang w:val="en-US" w:eastAsia="en-US" w:bidi="en-US"/>
        </w:rPr>
        <w:t xml:space="preserve"> </w:t>
      </w:r>
      <w:r>
        <w:rPr>
          <w:rStyle w:val="Bodytext1"/>
        </w:rPr>
        <w:t xml:space="preserve">a </w:t>
      </w:r>
      <w:hyperlink r:id="rId9" w:history="1">
        <w:r>
          <w:rPr>
            <w:rStyle w:val="Bodytext1"/>
            <w:color w:val="4773B1"/>
            <w:u w:val="single"/>
            <w:lang w:val="en-US" w:eastAsia="en-US" w:bidi="en-US"/>
          </w:rPr>
          <w:t>www.sgpstandard.cz</w:t>
        </w:r>
      </w:hyperlink>
      <w:r>
        <w:rPr>
          <w:rStyle w:val="Bodytext1"/>
          <w:color w:val="4773B1"/>
          <w:lang w:val="en-US" w:eastAsia="en-US" w:bidi="en-US"/>
        </w:rPr>
        <w:t xml:space="preserve"> </w:t>
      </w:r>
      <w:r>
        <w:rPr>
          <w:rStyle w:val="Bodytext1"/>
        </w:rPr>
        <w:t>pro webové stránky Příkazce se řídí samostatnou Licenční smlouvou č. 01 z 31.1. 2014.</w:t>
      </w:r>
    </w:p>
    <w:p w14:paraId="00EA135A" w14:textId="77777777" w:rsidR="003D5E05" w:rsidRDefault="00245808">
      <w:pPr>
        <w:pStyle w:val="Bodytext10"/>
        <w:numPr>
          <w:ilvl w:val="1"/>
          <w:numId w:val="1"/>
        </w:numPr>
        <w:tabs>
          <w:tab w:val="left" w:pos="686"/>
        </w:tabs>
        <w:spacing w:after="0" w:line="271" w:lineRule="auto"/>
        <w:jc w:val="both"/>
      </w:pPr>
      <w:r>
        <w:rPr>
          <w:rStyle w:val="Bodytext1"/>
        </w:rPr>
        <w:t>Úkol se skládá z několika dílčích částí, které jsou specifikovány níže.</w:t>
      </w:r>
    </w:p>
    <w:p w14:paraId="2EF50B09" w14:textId="77777777" w:rsidR="003D5E05" w:rsidRDefault="00245808">
      <w:pPr>
        <w:pStyle w:val="Bodytext10"/>
        <w:numPr>
          <w:ilvl w:val="1"/>
          <w:numId w:val="1"/>
        </w:numPr>
        <w:tabs>
          <w:tab w:val="left" w:pos="686"/>
        </w:tabs>
        <w:spacing w:after="300" w:line="271" w:lineRule="auto"/>
        <w:jc w:val="both"/>
      </w:pPr>
      <w:r>
        <w:rPr>
          <w:rStyle w:val="Bodytext1"/>
        </w:rPr>
        <w:t>Specifikace dílčích částí Úkolu:</w:t>
      </w:r>
    </w:p>
    <w:p w14:paraId="09B5199D" w14:textId="77777777" w:rsidR="003D5E05" w:rsidRDefault="00245808">
      <w:pPr>
        <w:pStyle w:val="Bodytext10"/>
        <w:numPr>
          <w:ilvl w:val="2"/>
          <w:numId w:val="1"/>
        </w:numPr>
        <w:tabs>
          <w:tab w:val="left" w:pos="686"/>
        </w:tabs>
        <w:spacing w:after="220" w:line="276" w:lineRule="auto"/>
        <w:ind w:left="660" w:hanging="660"/>
        <w:jc w:val="both"/>
      </w:pPr>
      <w:r>
        <w:rPr>
          <w:rStyle w:val="Bodytext1"/>
          <w:u w:val="single"/>
        </w:rPr>
        <w:t>Část L: Aktualizace kapitol I, II a III a IV Informačního portálu ÚNMZ pro stavební výrobky</w:t>
      </w:r>
    </w:p>
    <w:p w14:paraId="03A443A4" w14:textId="77777777" w:rsidR="003D5E05" w:rsidRDefault="00245808">
      <w:pPr>
        <w:pStyle w:val="Bodytext10"/>
        <w:numPr>
          <w:ilvl w:val="0"/>
          <w:numId w:val="2"/>
        </w:numPr>
        <w:tabs>
          <w:tab w:val="left" w:pos="1393"/>
        </w:tabs>
        <w:spacing w:after="0"/>
        <w:ind w:left="1380" w:hanging="340"/>
      </w:pPr>
      <w:r>
        <w:rPr>
          <w:rStyle w:val="Bodytext1"/>
        </w:rPr>
        <w:t xml:space="preserve">Příkazník bude správcovským způsobem měsíčně aktualizovat kapitoly I, II, III a IV Informačního portálu ÚNMZ specializovaného na právní a technické dokumenty v oblasti uvádění stavebních výrobků na jednotný evropský trh na adrese </w:t>
      </w:r>
      <w:hyperlink r:id="rId10" w:history="1">
        <w:r>
          <w:rPr>
            <w:rStyle w:val="Bodytext1"/>
            <w:color w:val="4773B1"/>
            <w:u w:val="single"/>
            <w:lang w:val="en-US" w:eastAsia="en-US" w:bidi="en-US"/>
          </w:rPr>
          <w:t xml:space="preserve">http://www.unmz.cz/urad/informacni-portal- </w:t>
        </w:r>
        <w:r>
          <w:rPr>
            <w:rStyle w:val="Bodytext1"/>
            <w:color w:val="4773B1"/>
            <w:u w:val="single"/>
          </w:rPr>
          <w:t>unmz-specializovany-na-pravni-a-technicke-dokumenty-y-oblasti- uvadeni-stavebnich-vyrobku-na-iednotny-evropsky-trh-c233</w:t>
        </w:r>
      </w:hyperlink>
      <w:r>
        <w:rPr>
          <w:rStyle w:val="Bodytext1"/>
          <w:color w:val="4773B1"/>
        </w:rPr>
        <w:t xml:space="preserve"> </w:t>
      </w:r>
      <w:r>
        <w:rPr>
          <w:rStyle w:val="Bodytext1"/>
        </w:rPr>
        <w:t>(rubriky současné české verze portálu - viz přílohu 1).</w:t>
      </w:r>
    </w:p>
    <w:p w14:paraId="4FC38AC2" w14:textId="77777777" w:rsidR="003D5E05" w:rsidRDefault="00245808">
      <w:pPr>
        <w:pStyle w:val="Bodytext10"/>
        <w:numPr>
          <w:ilvl w:val="0"/>
          <w:numId w:val="2"/>
        </w:numPr>
        <w:tabs>
          <w:tab w:val="left" w:pos="1393"/>
        </w:tabs>
        <w:spacing w:after="0"/>
        <w:ind w:left="1380" w:hanging="340"/>
      </w:pPr>
      <w:r>
        <w:rPr>
          <w:rStyle w:val="Bodytext1"/>
        </w:rPr>
        <w:t xml:space="preserve">Zároveň bude příkazník měsíčně aktualizovat anglickou verzi Informačního portálu na adrese </w:t>
      </w:r>
      <w:hyperlink r:id="rId11" w:history="1">
        <w:r>
          <w:rPr>
            <w:rStyle w:val="Bodytext1"/>
            <w:color w:val="4773B1"/>
            <w:u w:val="single"/>
            <w:lang w:val="en-US" w:eastAsia="en-US" w:bidi="en-US"/>
          </w:rPr>
          <w:t xml:space="preserve">http://www.unmz.cz/urad/information-portal- </w:t>
        </w:r>
        <w:r>
          <w:rPr>
            <w:rStyle w:val="Bodytext1"/>
            <w:color w:val="4773B1"/>
            <w:u w:val="single"/>
          </w:rPr>
          <w:t>construction-products</w:t>
        </w:r>
      </w:hyperlink>
      <w:r>
        <w:rPr>
          <w:rStyle w:val="Bodytext1"/>
          <w:color w:val="4773B1"/>
        </w:rPr>
        <w:t xml:space="preserve"> </w:t>
      </w:r>
      <w:r>
        <w:rPr>
          <w:rStyle w:val="Bodytext1"/>
        </w:rPr>
        <w:t xml:space="preserve">(rubriky současné anglické verze </w:t>
      </w:r>
      <w:proofErr w:type="gramStart"/>
      <w:r>
        <w:rPr>
          <w:rStyle w:val="Bodytext1"/>
        </w:rPr>
        <w:t>portálu - viz</w:t>
      </w:r>
      <w:proofErr w:type="gramEnd"/>
      <w:r>
        <w:rPr>
          <w:rStyle w:val="Bodytext1"/>
        </w:rPr>
        <w:t xml:space="preserve"> přílohu 2).</w:t>
      </w:r>
    </w:p>
    <w:p w14:paraId="1BAF2210" w14:textId="77777777" w:rsidR="003D5E05" w:rsidRDefault="00245808">
      <w:pPr>
        <w:pStyle w:val="Bodytext10"/>
        <w:numPr>
          <w:ilvl w:val="0"/>
          <w:numId w:val="2"/>
        </w:numPr>
        <w:tabs>
          <w:tab w:val="left" w:pos="1393"/>
        </w:tabs>
        <w:spacing w:after="0"/>
        <w:ind w:left="1380" w:hanging="340"/>
      </w:pPr>
      <w:r>
        <w:rPr>
          <w:rStyle w:val="Bodytext1"/>
        </w:rPr>
        <w:t>Příkazník nově zpracuje rubriky kapitoly II týkající se nařízení EP a Rady 2024/3110 (CPR 2) v české a anglické verzi.</w:t>
      </w:r>
    </w:p>
    <w:p w14:paraId="28BA790F" w14:textId="77777777" w:rsidR="003D5E05" w:rsidRDefault="00245808">
      <w:pPr>
        <w:pStyle w:val="Bodytext10"/>
        <w:numPr>
          <w:ilvl w:val="0"/>
          <w:numId w:val="2"/>
        </w:numPr>
        <w:tabs>
          <w:tab w:val="left" w:pos="1393"/>
        </w:tabs>
        <w:spacing w:after="220"/>
        <w:ind w:left="1380" w:hanging="340"/>
      </w:pPr>
      <w:r>
        <w:rPr>
          <w:rStyle w:val="Bodytext1"/>
        </w:rPr>
        <w:t>Příkazník každý měsíc prověří kapitoly I, II, III a IV a podkapitoly české a anglické verze tohoto Informačního portálu z hlediska aktuálnosti, doplní nové předpisy a v případě nových skutečností provede korekturu textu, případně změnu struktury portálu.</w:t>
      </w:r>
    </w:p>
    <w:p w14:paraId="14C30599" w14:textId="77777777" w:rsidR="003D5E05" w:rsidRDefault="00245808">
      <w:pPr>
        <w:pStyle w:val="Bodytext10"/>
        <w:numPr>
          <w:ilvl w:val="2"/>
          <w:numId w:val="1"/>
        </w:numPr>
        <w:tabs>
          <w:tab w:val="left" w:pos="734"/>
        </w:tabs>
        <w:spacing w:after="0" w:line="271" w:lineRule="auto"/>
      </w:pPr>
      <w:r>
        <w:rPr>
          <w:rStyle w:val="Bodytext1"/>
          <w:u w:val="single"/>
        </w:rPr>
        <w:t>Část II.: Aktualizace databáze harmonizovaných norem pro stavební výrobky</w:t>
      </w:r>
    </w:p>
    <w:p w14:paraId="18BA8D8F" w14:textId="77777777" w:rsidR="003D5E05" w:rsidRDefault="00245808">
      <w:pPr>
        <w:pStyle w:val="Bodytext10"/>
        <w:spacing w:after="80" w:line="271" w:lineRule="auto"/>
        <w:ind w:left="1460" w:hanging="340"/>
      </w:pPr>
      <w:r>
        <w:rPr>
          <w:rStyle w:val="Bodytext1"/>
        </w:rPr>
        <w:t xml:space="preserve">a. Příkazník bude měsíčně aktualizovat českou a anglickou verzi databáze harmonizovaných norem k CPR na adrese </w:t>
      </w:r>
      <w:hyperlink r:id="rId12" w:history="1">
        <w:r>
          <w:rPr>
            <w:rStyle w:val="Bodytext1"/>
            <w:color w:val="4773B1"/>
            <w:u w:val="single"/>
            <w:lang w:val="en-US" w:eastAsia="en-US" w:bidi="en-US"/>
          </w:rPr>
          <w:t xml:space="preserve">http://www.nlfnorm.cz/normv/70/prehled-harmonizovanych-norem-k- </w:t>
        </w:r>
        <w:r>
          <w:rPr>
            <w:rStyle w:val="Bodytext1"/>
            <w:color w:val="4773B1"/>
            <w:u w:val="single"/>
          </w:rPr>
          <w:t>cpr</w:t>
        </w:r>
      </w:hyperlink>
      <w:r>
        <w:rPr>
          <w:rStyle w:val="Bodytext1"/>
          <w:color w:val="4773B1"/>
        </w:rPr>
        <w:t xml:space="preserve"> </w:t>
      </w:r>
      <w:r>
        <w:rPr>
          <w:rStyle w:val="Bodytext1"/>
        </w:rPr>
        <w:t>následujícím způsobem:</w:t>
      </w:r>
    </w:p>
    <w:p w14:paraId="47D56BA9" w14:textId="77777777" w:rsidR="003D5E05" w:rsidRDefault="00245808">
      <w:pPr>
        <w:pStyle w:val="Bodytext10"/>
        <w:numPr>
          <w:ilvl w:val="0"/>
          <w:numId w:val="3"/>
        </w:numPr>
        <w:tabs>
          <w:tab w:val="left" w:pos="2086"/>
        </w:tabs>
        <w:spacing w:after="80" w:line="276" w:lineRule="auto"/>
        <w:ind w:left="2140" w:hanging="280"/>
        <w:jc w:val="both"/>
      </w:pPr>
      <w:r>
        <w:rPr>
          <w:rStyle w:val="Bodytext1"/>
        </w:rPr>
        <w:t>Aktualizace harmonizovaných evropských norem k CPR bude v databázi prováděna na základě zveřejnění v Úředním Věstníku EU, popř. informací z CEN.</w:t>
      </w:r>
    </w:p>
    <w:p w14:paraId="618FFB86" w14:textId="77777777" w:rsidR="003D5E05" w:rsidRDefault="00245808">
      <w:pPr>
        <w:pStyle w:val="Bodytext10"/>
        <w:numPr>
          <w:ilvl w:val="0"/>
          <w:numId w:val="3"/>
        </w:numPr>
        <w:tabs>
          <w:tab w:val="left" w:pos="2084"/>
        </w:tabs>
        <w:spacing w:after="80" w:line="271" w:lineRule="auto"/>
        <w:ind w:left="2140" w:hanging="340"/>
        <w:jc w:val="both"/>
      </w:pPr>
      <w:r>
        <w:rPr>
          <w:rStyle w:val="Bodytext1"/>
        </w:rPr>
        <w:lastRenderedPageBreak/>
        <w:t>K nově zveřejněným evropským normám bude vždy v databázi přiřazena příslušná česká norma, bude provedeno její propojení na ČSN on-line s možností otevíraní plných textů ve formátu pdf. pro předplatitele této služby ČAS, dále k ní bude přiřazen příslušný normalizační požadavek, rozhodnutí Evropské komise, systémy posuzování a ověřování stálosti vlastností, působnost oznámených subjektů propojením do databáze SMCS/NANDO (pokud je to relevantní), skupiny výrobků a datum ukončení období souběžné existence.</w:t>
      </w:r>
    </w:p>
    <w:p w14:paraId="6BB1284E" w14:textId="77777777" w:rsidR="003D5E05" w:rsidRDefault="00245808">
      <w:pPr>
        <w:pStyle w:val="Bodytext10"/>
        <w:numPr>
          <w:ilvl w:val="0"/>
          <w:numId w:val="3"/>
        </w:numPr>
        <w:tabs>
          <w:tab w:val="left" w:pos="2096"/>
        </w:tabs>
        <w:spacing w:after="80"/>
        <w:ind w:left="2140" w:hanging="400"/>
        <w:jc w:val="both"/>
      </w:pPr>
      <w:r>
        <w:rPr>
          <w:rStyle w:val="Bodytext1"/>
        </w:rPr>
        <w:t>Bude prověřena platnost všech harmonizovaných ČSN, jejich změn a revizí na základě Věstníku ÚNMZ.</w:t>
      </w:r>
    </w:p>
    <w:p w14:paraId="0664365F" w14:textId="77777777" w:rsidR="003D5E05" w:rsidRDefault="00245808">
      <w:pPr>
        <w:pStyle w:val="Bodytext10"/>
        <w:numPr>
          <w:ilvl w:val="0"/>
          <w:numId w:val="3"/>
        </w:numPr>
        <w:tabs>
          <w:tab w:val="left" w:pos="2082"/>
        </w:tabs>
        <w:spacing w:after="80"/>
        <w:ind w:left="2140" w:hanging="400"/>
        <w:jc w:val="both"/>
      </w:pPr>
      <w:r>
        <w:rPr>
          <w:rStyle w:val="Bodytext1"/>
        </w:rPr>
        <w:t xml:space="preserve">Aktualizace bude zároveň provedena v </w:t>
      </w:r>
      <w:r>
        <w:rPr>
          <w:rStyle w:val="Bodytext1"/>
          <w:color w:val="4773B1"/>
          <w:u w:val="single"/>
        </w:rPr>
        <w:t>české</w:t>
      </w:r>
      <w:r>
        <w:rPr>
          <w:rStyle w:val="Bodytext1"/>
          <w:color w:val="4773B1"/>
        </w:rPr>
        <w:t xml:space="preserve"> </w:t>
      </w:r>
      <w:r>
        <w:rPr>
          <w:rStyle w:val="Bodytext1"/>
        </w:rPr>
        <w:t xml:space="preserve">a </w:t>
      </w:r>
      <w:r>
        <w:rPr>
          <w:rStyle w:val="Bodytext1"/>
          <w:color w:val="4773B1"/>
          <w:u w:val="single"/>
        </w:rPr>
        <w:t>anglické</w:t>
      </w:r>
      <w:r>
        <w:rPr>
          <w:rStyle w:val="Bodytext1"/>
          <w:color w:val="4773B1"/>
        </w:rPr>
        <w:t xml:space="preserve"> </w:t>
      </w:r>
      <w:r>
        <w:rPr>
          <w:rStyle w:val="Bodytext1"/>
        </w:rPr>
        <w:t>verzi i ve skupinách výrobků k CPR.</w:t>
      </w:r>
    </w:p>
    <w:p w14:paraId="4D867BB4" w14:textId="77777777" w:rsidR="003D5E05" w:rsidRDefault="00245808">
      <w:pPr>
        <w:pStyle w:val="Bodytext10"/>
        <w:numPr>
          <w:ilvl w:val="0"/>
          <w:numId w:val="3"/>
        </w:numPr>
        <w:tabs>
          <w:tab w:val="left" w:pos="2084"/>
        </w:tabs>
        <w:spacing w:after="80" w:line="276" w:lineRule="auto"/>
        <w:ind w:left="2140" w:hanging="340"/>
        <w:jc w:val="both"/>
      </w:pPr>
      <w:r>
        <w:rPr>
          <w:rStyle w:val="Bodytext1"/>
        </w:rPr>
        <w:t xml:space="preserve">Všechny harmonizované normy k CPR, kde dojde v daném měsíci v databázi ke změně, budou měsíčně evidovány ve </w:t>
      </w:r>
      <w:r>
        <w:rPr>
          <w:rStyle w:val="Bodytext1"/>
          <w:color w:val="4773B1"/>
          <w:u w:val="single"/>
        </w:rPr>
        <w:t>shrnutí aktualizací.</w:t>
      </w:r>
    </w:p>
    <w:p w14:paraId="3B449423" w14:textId="77777777" w:rsidR="003D5E05" w:rsidRDefault="00245808">
      <w:pPr>
        <w:pStyle w:val="Bodytext10"/>
        <w:numPr>
          <w:ilvl w:val="0"/>
          <w:numId w:val="3"/>
        </w:numPr>
        <w:tabs>
          <w:tab w:val="left" w:pos="2089"/>
        </w:tabs>
        <w:spacing w:after="0" w:line="271" w:lineRule="auto"/>
        <w:ind w:left="2140" w:hanging="400"/>
      </w:pPr>
      <w:r>
        <w:rPr>
          <w:rStyle w:val="Bodytext1"/>
        </w:rPr>
        <w:t xml:space="preserve">Pokud budou v OJEU zveřejněny </w:t>
      </w:r>
      <w:r>
        <w:rPr>
          <w:rStyle w:val="Bodytext1"/>
          <w:b/>
          <w:bCs/>
        </w:rPr>
        <w:t xml:space="preserve">harmonizované normy podle nařízení 2024/3110 (CPR 2), </w:t>
      </w:r>
      <w:r>
        <w:rPr>
          <w:rStyle w:val="Bodytext1"/>
        </w:rPr>
        <w:t>budou stejným způsobem zpracovány a aktualizovány v databázi na adrese:</w:t>
      </w:r>
    </w:p>
    <w:p w14:paraId="50F3E432" w14:textId="77777777" w:rsidR="003D5E05" w:rsidRDefault="00245808">
      <w:pPr>
        <w:pStyle w:val="Bodytext10"/>
        <w:spacing w:after="80" w:line="271" w:lineRule="auto"/>
        <w:ind w:left="2140"/>
      </w:pPr>
      <w:hyperlink r:id="rId13" w:history="1">
        <w:r>
          <w:rPr>
            <w:rStyle w:val="Bodytext1"/>
            <w:b/>
            <w:bCs/>
            <w:color w:val="4773B1"/>
            <w:u w:val="single"/>
            <w:lang w:val="en-US" w:eastAsia="en-US" w:bidi="en-US"/>
          </w:rPr>
          <w:t>https://www.nlfnorm.cz/normy/1817/databaze-evropsky</w:t>
        </w:r>
      </w:hyperlink>
      <w:r>
        <w:rPr>
          <w:rStyle w:val="Bodytext1"/>
          <w:b/>
          <w:bCs/>
          <w:color w:val="4773B1"/>
          <w:lang w:val="en-US" w:eastAsia="en-US" w:bidi="en-US"/>
        </w:rPr>
        <w:t xml:space="preserve">ch- </w:t>
      </w:r>
      <w:r>
        <w:rPr>
          <w:rStyle w:val="Bodytext1"/>
          <w:b/>
          <w:bCs/>
          <w:color w:val="4773B1"/>
          <w:u w:val="single"/>
        </w:rPr>
        <w:t>dokumentu-pro-posuzovani-ead-k-narizeni-ep-a-rady-eu-c- 2024-3110-cpr-2</w:t>
      </w:r>
    </w:p>
    <w:p w14:paraId="37863811" w14:textId="77777777" w:rsidR="003D5E05" w:rsidRDefault="00245808">
      <w:pPr>
        <w:pStyle w:val="Bodytext10"/>
        <w:numPr>
          <w:ilvl w:val="2"/>
          <w:numId w:val="1"/>
        </w:numPr>
        <w:tabs>
          <w:tab w:val="left" w:pos="734"/>
        </w:tabs>
        <w:spacing w:after="80" w:line="271" w:lineRule="auto"/>
      </w:pPr>
      <w:r>
        <w:rPr>
          <w:rStyle w:val="Bodytext1"/>
          <w:u w:val="single"/>
        </w:rPr>
        <w:t>Část III.: Aktualizac</w:t>
      </w:r>
      <w:r>
        <w:rPr>
          <w:rStyle w:val="Bodytext1"/>
        </w:rPr>
        <w:t>e</w:t>
      </w:r>
      <w:r>
        <w:rPr>
          <w:rStyle w:val="Bodytext1"/>
          <w:u w:val="single"/>
        </w:rPr>
        <w:t>evrop</w:t>
      </w:r>
      <w:r>
        <w:rPr>
          <w:rStyle w:val="Bodytext1"/>
        </w:rPr>
        <w:t>sk</w:t>
      </w:r>
      <w:r>
        <w:rPr>
          <w:rStyle w:val="Bodytext1"/>
          <w:u w:val="single"/>
        </w:rPr>
        <w:t>ý</w:t>
      </w:r>
      <w:r>
        <w:rPr>
          <w:rStyle w:val="Bodytext1"/>
        </w:rPr>
        <w:t xml:space="preserve">ch </w:t>
      </w:r>
      <w:r>
        <w:rPr>
          <w:rStyle w:val="Bodytext1"/>
          <w:u w:val="single"/>
        </w:rPr>
        <w:t xml:space="preserve">dokumentů </w:t>
      </w:r>
      <w:proofErr w:type="gramStart"/>
      <w:r>
        <w:rPr>
          <w:rStyle w:val="Bodytext1"/>
          <w:u w:val="single"/>
        </w:rPr>
        <w:t>prp</w:t>
      </w:r>
      <w:r>
        <w:rPr>
          <w:rStyle w:val="Bodytext1"/>
        </w:rPr>
        <w:t>.</w:t>
      </w:r>
      <w:r>
        <w:rPr>
          <w:rStyle w:val="Bodytext1"/>
          <w:u w:val="single"/>
        </w:rPr>
        <w:t>posuzování</w:t>
      </w:r>
      <w:proofErr w:type="gramEnd"/>
      <w:r>
        <w:rPr>
          <w:rStyle w:val="Bodytext1"/>
          <w:u w:val="single"/>
        </w:rPr>
        <w:t xml:space="preserve"> (EAD)</w:t>
      </w:r>
    </w:p>
    <w:p w14:paraId="3321BF37" w14:textId="77777777" w:rsidR="003D5E05" w:rsidRDefault="00245808">
      <w:pPr>
        <w:pStyle w:val="Bodytext10"/>
        <w:spacing w:after="0"/>
        <w:ind w:left="1640" w:hanging="340"/>
      </w:pPr>
      <w:r>
        <w:rPr>
          <w:rStyle w:val="Bodytext1"/>
        </w:rPr>
        <w:t xml:space="preserve">a. Příkazník zajistí aktualizaci evropských dokumentů pro posuzování (EAD) k CPR na adrese: </w:t>
      </w:r>
      <w:r>
        <w:rPr>
          <w:rStyle w:val="Bodytext1"/>
          <w:color w:val="4773B1"/>
          <w:lang w:val="en-US" w:eastAsia="en-US" w:bidi="en-US"/>
        </w:rPr>
        <w:t>htt</w:t>
      </w:r>
      <w:r>
        <w:rPr>
          <w:rStyle w:val="Bodytext1"/>
          <w:color w:val="4773B1"/>
          <w:u w:val="single"/>
          <w:lang w:val="en-US" w:eastAsia="en-US" w:bidi="en-US"/>
        </w:rPr>
        <w:t xml:space="preserve">ps://www.nlfnorm.cz/normy/1402/databaze-evropskych- </w:t>
      </w:r>
      <w:r>
        <w:rPr>
          <w:rStyle w:val="Bodytext1"/>
          <w:color w:val="4773B1"/>
          <w:u w:val="single"/>
        </w:rPr>
        <w:t xml:space="preserve">dokumentu-pro-posuzovani-ead-k-narizeni-ep-a-rady-eu-c-305-2011- </w:t>
      </w:r>
      <w:proofErr w:type="gramStart"/>
      <w:r>
        <w:rPr>
          <w:rStyle w:val="Bodytext1"/>
          <w:color w:val="4773B1"/>
          <w:u w:val="single"/>
        </w:rPr>
        <w:t>cpr-</w:t>
      </w:r>
      <w:r>
        <w:rPr>
          <w:rStyle w:val="Bodytext1"/>
          <w:color w:val="4773B1"/>
        </w:rPr>
        <w:t xml:space="preserve"> </w:t>
      </w:r>
      <w:r>
        <w:rPr>
          <w:rStyle w:val="Bodytext1"/>
        </w:rPr>
        <w:t>následujícím</w:t>
      </w:r>
      <w:proofErr w:type="gramEnd"/>
      <w:r>
        <w:rPr>
          <w:rStyle w:val="Bodytext1"/>
        </w:rPr>
        <w:t xml:space="preserve"> způsobem:</w:t>
      </w:r>
    </w:p>
    <w:p w14:paraId="30B16F0F" w14:textId="77777777" w:rsidR="003D5E05" w:rsidRDefault="00245808">
      <w:pPr>
        <w:pStyle w:val="Bodytext10"/>
        <w:numPr>
          <w:ilvl w:val="0"/>
          <w:numId w:val="4"/>
        </w:numPr>
        <w:tabs>
          <w:tab w:val="left" w:pos="2276"/>
        </w:tabs>
        <w:spacing w:after="80"/>
        <w:ind w:left="2320" w:hanging="460"/>
        <w:jc w:val="both"/>
      </w:pPr>
      <w:r>
        <w:rPr>
          <w:rStyle w:val="Bodytext1"/>
        </w:rPr>
        <w:t>Aktualizace EAD k CPR bude v databázi prováděna na základě zveřejnění v Úředním Věstníku EU,</w:t>
      </w:r>
    </w:p>
    <w:p w14:paraId="21FE5044" w14:textId="77777777" w:rsidR="003D5E05" w:rsidRDefault="00245808">
      <w:pPr>
        <w:pStyle w:val="Bodytext10"/>
        <w:numPr>
          <w:ilvl w:val="0"/>
          <w:numId w:val="4"/>
        </w:numPr>
        <w:tabs>
          <w:tab w:val="left" w:pos="2276"/>
        </w:tabs>
        <w:spacing w:after="80"/>
        <w:ind w:left="2320" w:hanging="520"/>
        <w:jc w:val="both"/>
      </w:pPr>
      <w:r>
        <w:rPr>
          <w:rStyle w:val="Bodytext1"/>
        </w:rPr>
        <w:t>Ke každému EAD bude zároveň doplněno jeho první zveřejnění v OJEU, dále je zde podle textu EAD vybrán příslušný systém posuzování a ověřování stálosti vlastností (1, 1+, 2+, 3, 3+ a 4), zařazení do příslušné skupiny podle přílohy IV CPR a podle uvedeného rozhodnutí Komise, dále je zde propojen k danému EAD odkaz na působnost oznámených subjektů propojením do databáze SMCS/NANDO (pokud je to relevantní),</w:t>
      </w:r>
    </w:p>
    <w:p w14:paraId="345A14EC" w14:textId="77777777" w:rsidR="003D5E05" w:rsidRDefault="00245808">
      <w:pPr>
        <w:pStyle w:val="Bodytext10"/>
        <w:numPr>
          <w:ilvl w:val="0"/>
          <w:numId w:val="4"/>
        </w:numPr>
        <w:tabs>
          <w:tab w:val="left" w:pos="2326"/>
        </w:tabs>
        <w:spacing w:after="80" w:line="271" w:lineRule="auto"/>
        <w:ind w:left="2440" w:hanging="580"/>
        <w:jc w:val="both"/>
      </w:pPr>
      <w:r>
        <w:rPr>
          <w:rStyle w:val="Bodytext1"/>
        </w:rPr>
        <w:t>Znění EAD bude možné přímo otevírat z databáze propojením na stránky EOTA. Pokud existuje český překlad EAD, bude u něj označení (CZ) místo (EN), anglická verze je pak k dispozici jen v anglické verzi databáze EAD,</w:t>
      </w:r>
    </w:p>
    <w:p w14:paraId="7EE181DD" w14:textId="77777777" w:rsidR="003D5E05" w:rsidRDefault="00245808">
      <w:pPr>
        <w:pStyle w:val="Bodytext10"/>
        <w:numPr>
          <w:ilvl w:val="0"/>
          <w:numId w:val="4"/>
        </w:numPr>
        <w:tabs>
          <w:tab w:val="left" w:pos="2326"/>
        </w:tabs>
        <w:spacing w:after="80" w:line="271" w:lineRule="auto"/>
        <w:ind w:left="2440" w:hanging="580"/>
        <w:jc w:val="both"/>
      </w:pPr>
      <w:r>
        <w:rPr>
          <w:rStyle w:val="Bodytext1"/>
        </w:rPr>
        <w:t xml:space="preserve">Pokud dochází v daném měsíci v databázi EAD ke změně např. na základě nového zveřejnění nebo doplnění nového českého překladu EAD, bude místo změny označeno zeleně a změny budou měsíčně evidovány ve </w:t>
      </w:r>
      <w:r>
        <w:rPr>
          <w:rStyle w:val="Bodytext1"/>
          <w:color w:val="4773B1"/>
          <w:u w:val="single"/>
        </w:rPr>
        <w:t>shrnutí aktualizací,</w:t>
      </w:r>
    </w:p>
    <w:p w14:paraId="2C3FFD36" w14:textId="77777777" w:rsidR="003D5E05" w:rsidRDefault="00245808">
      <w:pPr>
        <w:pStyle w:val="Bodytext10"/>
        <w:numPr>
          <w:ilvl w:val="0"/>
          <w:numId w:val="4"/>
        </w:numPr>
        <w:tabs>
          <w:tab w:val="left" w:pos="2326"/>
        </w:tabs>
        <w:spacing w:after="80" w:line="276" w:lineRule="auto"/>
        <w:ind w:left="2440" w:hanging="500"/>
        <w:jc w:val="both"/>
      </w:pPr>
      <w:r>
        <w:rPr>
          <w:rStyle w:val="Bodytext1"/>
        </w:rPr>
        <w:lastRenderedPageBreak/>
        <w:t xml:space="preserve">Aktualizace bude zároveň provedena v </w:t>
      </w:r>
      <w:r>
        <w:rPr>
          <w:rStyle w:val="Bodytext1"/>
          <w:color w:val="4773B1"/>
          <w:u w:val="single"/>
        </w:rPr>
        <w:t>české</w:t>
      </w:r>
      <w:r>
        <w:rPr>
          <w:rStyle w:val="Bodytext1"/>
          <w:color w:val="4773B1"/>
        </w:rPr>
        <w:t xml:space="preserve"> </w:t>
      </w:r>
      <w:r>
        <w:rPr>
          <w:rStyle w:val="Bodytext1"/>
        </w:rPr>
        <w:t xml:space="preserve">a </w:t>
      </w:r>
      <w:r>
        <w:rPr>
          <w:rStyle w:val="Bodytext1"/>
          <w:color w:val="4773B1"/>
          <w:u w:val="single"/>
        </w:rPr>
        <w:t>anglické</w:t>
      </w:r>
      <w:r>
        <w:rPr>
          <w:rStyle w:val="Bodytext1"/>
          <w:color w:val="4773B1"/>
        </w:rPr>
        <w:t xml:space="preserve"> </w:t>
      </w:r>
      <w:r>
        <w:rPr>
          <w:rStyle w:val="Bodytext1"/>
        </w:rPr>
        <w:t xml:space="preserve">verzi i ve </w:t>
      </w:r>
      <w:r>
        <w:rPr>
          <w:rStyle w:val="Bodytext1"/>
          <w:color w:val="4773B1"/>
          <w:u w:val="single"/>
        </w:rPr>
        <w:t>skupinách výrobků</w:t>
      </w:r>
      <w:r>
        <w:rPr>
          <w:rStyle w:val="Bodytext1"/>
          <w:color w:val="4773B1"/>
        </w:rPr>
        <w:t xml:space="preserve"> </w:t>
      </w:r>
      <w:r>
        <w:rPr>
          <w:rStyle w:val="Bodytext1"/>
        </w:rPr>
        <w:t>k CPR.</w:t>
      </w:r>
    </w:p>
    <w:p w14:paraId="2DE1D942" w14:textId="77777777" w:rsidR="003D5E05" w:rsidRDefault="00245808">
      <w:pPr>
        <w:pStyle w:val="Bodytext10"/>
        <w:numPr>
          <w:ilvl w:val="0"/>
          <w:numId w:val="4"/>
        </w:numPr>
        <w:tabs>
          <w:tab w:val="left" w:pos="2326"/>
        </w:tabs>
        <w:spacing w:after="0" w:line="276" w:lineRule="auto"/>
        <w:ind w:left="2440" w:hanging="580"/>
      </w:pPr>
      <w:r>
        <w:rPr>
          <w:rStyle w:val="Bodytext1"/>
        </w:rPr>
        <w:t xml:space="preserve">Pokud budou v OJEU zveřejněny </w:t>
      </w:r>
      <w:r>
        <w:rPr>
          <w:rStyle w:val="Bodytext1"/>
          <w:b/>
          <w:bCs/>
        </w:rPr>
        <w:t xml:space="preserve">evropské dokumenty pro posuzování (EAD) podle nařízení 2024/3110 (CPR 2), </w:t>
      </w:r>
      <w:r>
        <w:rPr>
          <w:rStyle w:val="Bodytext1"/>
        </w:rPr>
        <w:t xml:space="preserve">budou stejným způsobem zapracovány do databáze na adrese: </w:t>
      </w:r>
      <w:r>
        <w:rPr>
          <w:rStyle w:val="Bodytext1"/>
          <w:b/>
          <w:bCs/>
          <w:color w:val="4773B1"/>
        </w:rPr>
        <w:t>hltus^/wwwjilfnon^^</w:t>
      </w:r>
    </w:p>
    <w:p w14:paraId="4C588E3F" w14:textId="77777777" w:rsidR="003D5E05" w:rsidRDefault="00245808">
      <w:pPr>
        <w:pStyle w:val="Bodytext10"/>
        <w:spacing w:after="440" w:line="276" w:lineRule="auto"/>
        <w:ind w:left="2440"/>
      </w:pPr>
      <w:r>
        <w:rPr>
          <w:rStyle w:val="Bodytext1"/>
          <w:b/>
          <w:bCs/>
          <w:color w:val="4773B1"/>
          <w:u w:val="single"/>
        </w:rPr>
        <w:t>evropskych-dokumentu-pro-posuzovani-ead-k-narizeni-</w:t>
      </w:r>
      <w:proofErr w:type="gramStart"/>
      <w:r>
        <w:rPr>
          <w:rStyle w:val="Bodytext1"/>
          <w:b/>
          <w:bCs/>
          <w:color w:val="4773B1"/>
          <w:u w:val="single"/>
        </w:rPr>
        <w:t>ep- a</w:t>
      </w:r>
      <w:proofErr w:type="gramEnd"/>
      <w:r>
        <w:rPr>
          <w:rStyle w:val="Bodytext1"/>
          <w:b/>
          <w:bCs/>
          <w:color w:val="4773B1"/>
          <w:u w:val="single"/>
        </w:rPr>
        <w:t>-rady-eu-c-2024-</w:t>
      </w:r>
      <w:proofErr w:type="gramStart"/>
      <w:r>
        <w:rPr>
          <w:rStyle w:val="Bodytext1"/>
          <w:b/>
          <w:bCs/>
          <w:color w:val="4773B1"/>
          <w:u w:val="single"/>
        </w:rPr>
        <w:t>3110-cpr</w:t>
      </w:r>
      <w:proofErr w:type="gramEnd"/>
      <w:r>
        <w:rPr>
          <w:rStyle w:val="Bodytext1"/>
          <w:b/>
          <w:bCs/>
          <w:color w:val="4773B1"/>
          <w:u w:val="single"/>
        </w:rPr>
        <w:t>-2</w:t>
      </w:r>
    </w:p>
    <w:p w14:paraId="7C55D57C" w14:textId="77777777" w:rsidR="003D5E05" w:rsidRDefault="00245808">
      <w:pPr>
        <w:pStyle w:val="Bodytext10"/>
        <w:numPr>
          <w:ilvl w:val="1"/>
          <w:numId w:val="5"/>
        </w:numPr>
        <w:tabs>
          <w:tab w:val="left" w:pos="884"/>
        </w:tabs>
        <w:spacing w:after="440" w:line="271" w:lineRule="auto"/>
        <w:ind w:left="860" w:hanging="660"/>
        <w:jc w:val="both"/>
      </w:pPr>
      <w:r>
        <w:rPr>
          <w:rStyle w:val="Bodytext1"/>
        </w:rPr>
        <w:t xml:space="preserve">Informace o všech provedených změnách na portálu ÚNMZ včetně databáze harmonizovaných norem a databáze EAD v příslušném měsíci budou zpracovány v měsíčních aktualizacích, umístěny v </w:t>
      </w:r>
      <w:r>
        <w:rPr>
          <w:rStyle w:val="Bodytext1"/>
          <w:b/>
          <w:bCs/>
          <w:color w:val="4773B1"/>
        </w:rPr>
        <w:t xml:space="preserve">Archivu aktualizací </w:t>
      </w:r>
      <w:r>
        <w:rPr>
          <w:rStyle w:val="Bodytext1"/>
        </w:rPr>
        <w:t xml:space="preserve">a budou zaslány </w:t>
      </w:r>
      <w:proofErr w:type="gramStart"/>
      <w:r>
        <w:rPr>
          <w:rStyle w:val="Bodytext1"/>
        </w:rPr>
        <w:t>e- mailem</w:t>
      </w:r>
      <w:proofErr w:type="gramEnd"/>
      <w:r>
        <w:rPr>
          <w:rStyle w:val="Bodytext1"/>
        </w:rPr>
        <w:t xml:space="preserve"> členům Technické komise ÚNMZ pro stavební výrobky (případně dalším expertům) vždy do 25. dne v měsíci.</w:t>
      </w:r>
    </w:p>
    <w:p w14:paraId="03EBE4A5" w14:textId="77777777" w:rsidR="003D5E05" w:rsidRDefault="00245808">
      <w:pPr>
        <w:pStyle w:val="Bodytext10"/>
        <w:numPr>
          <w:ilvl w:val="1"/>
          <w:numId w:val="5"/>
        </w:numPr>
        <w:tabs>
          <w:tab w:val="left" w:pos="884"/>
        </w:tabs>
        <w:spacing w:after="440" w:line="276" w:lineRule="auto"/>
        <w:ind w:left="860" w:hanging="660"/>
        <w:jc w:val="both"/>
      </w:pPr>
      <w:r>
        <w:rPr>
          <w:rStyle w:val="Bodytext1"/>
        </w:rPr>
        <w:t xml:space="preserve">Přehled všech změn provedených na Informačním </w:t>
      </w:r>
      <w:proofErr w:type="gramStart"/>
      <w:r>
        <w:rPr>
          <w:rStyle w:val="Bodytext1"/>
        </w:rPr>
        <w:t>portálu - Stavební</w:t>
      </w:r>
      <w:proofErr w:type="gramEnd"/>
      <w:r>
        <w:rPr>
          <w:rStyle w:val="Bodytext1"/>
        </w:rPr>
        <w:t xml:space="preserve"> výrobky v daném roce bude součástí Závěrečné zprávy, která bude zaslána Příkazci vždy do 30.</w:t>
      </w:r>
      <w:proofErr w:type="gramStart"/>
      <w:r>
        <w:rPr>
          <w:rStyle w:val="Bodytext1"/>
        </w:rPr>
        <w:t>10-daného</w:t>
      </w:r>
      <w:proofErr w:type="gramEnd"/>
      <w:r>
        <w:rPr>
          <w:rStyle w:val="Bodytext1"/>
        </w:rPr>
        <w:t xml:space="preserve"> roku.</w:t>
      </w:r>
    </w:p>
    <w:p w14:paraId="0BAF4551" w14:textId="77777777" w:rsidR="003D5E05" w:rsidRDefault="00245808">
      <w:pPr>
        <w:pStyle w:val="Heading310"/>
        <w:keepNext/>
        <w:keepLines/>
        <w:numPr>
          <w:ilvl w:val="0"/>
          <w:numId w:val="6"/>
        </w:numPr>
        <w:tabs>
          <w:tab w:val="left" w:pos="482"/>
        </w:tabs>
        <w:spacing w:after="200" w:line="276" w:lineRule="auto"/>
      </w:pPr>
      <w:bookmarkStart w:id="4" w:name="bookmark8"/>
      <w:r>
        <w:rPr>
          <w:rStyle w:val="Heading31"/>
          <w:b/>
          <w:bCs/>
        </w:rPr>
        <w:t>Odměna</w:t>
      </w:r>
      <w:bookmarkEnd w:id="4"/>
    </w:p>
    <w:p w14:paraId="5E02F0D1" w14:textId="77777777" w:rsidR="003D5E05" w:rsidRDefault="00245808">
      <w:pPr>
        <w:pStyle w:val="Bodytext10"/>
        <w:numPr>
          <w:ilvl w:val="1"/>
          <w:numId w:val="6"/>
        </w:numPr>
        <w:tabs>
          <w:tab w:val="left" w:pos="884"/>
        </w:tabs>
        <w:spacing w:after="80" w:line="276" w:lineRule="auto"/>
        <w:ind w:left="860" w:hanging="660"/>
        <w:jc w:val="both"/>
      </w:pPr>
      <w:r>
        <w:rPr>
          <w:rStyle w:val="Bodytext1"/>
        </w:rPr>
        <w:t xml:space="preserve">Odměna Příkazníka za plnění dle této Smlouvy je stanovena za splnění Úkolu, tedy za činnost Příkazníka v 1 kalendářním roce 330 000 Kč včetně DPH (dále jen </w:t>
      </w:r>
      <w:r>
        <w:rPr>
          <w:rStyle w:val="Bodytext1"/>
          <w:b/>
          <w:bCs/>
        </w:rPr>
        <w:t>„Odměna").</w:t>
      </w:r>
    </w:p>
    <w:p w14:paraId="31DD6B34" w14:textId="77777777" w:rsidR="003D5E05" w:rsidRDefault="00245808">
      <w:pPr>
        <w:pStyle w:val="Bodytext10"/>
        <w:numPr>
          <w:ilvl w:val="1"/>
          <w:numId w:val="6"/>
        </w:numPr>
        <w:tabs>
          <w:tab w:val="left" w:pos="884"/>
        </w:tabs>
        <w:spacing w:after="140"/>
        <w:ind w:left="860" w:hanging="660"/>
        <w:jc w:val="both"/>
      </w:pPr>
      <w:r>
        <w:rPr>
          <w:rStyle w:val="Bodytext1"/>
        </w:rPr>
        <w:t xml:space="preserve">Příkazce je povinen zaplatit Příkazníkovi Odměnu za Úkol za dané období po řádném splnění a předání daného Úkolu za dané období a po potvrzení o splnění Příkazníkovi ze strany </w:t>
      </w:r>
      <w:r>
        <w:rPr>
          <w:rStyle w:val="Bodytext1"/>
        </w:rPr>
        <w:t>Příkazce.</w:t>
      </w:r>
    </w:p>
    <w:p w14:paraId="1666653D" w14:textId="77777777" w:rsidR="003D5E05" w:rsidRDefault="00245808">
      <w:pPr>
        <w:pStyle w:val="Bodytext10"/>
        <w:numPr>
          <w:ilvl w:val="1"/>
          <w:numId w:val="6"/>
        </w:numPr>
        <w:tabs>
          <w:tab w:val="left" w:pos="875"/>
        </w:tabs>
        <w:spacing w:line="276" w:lineRule="auto"/>
        <w:ind w:left="860" w:hanging="660"/>
        <w:jc w:val="both"/>
      </w:pPr>
      <w:r>
        <w:rPr>
          <w:rStyle w:val="Bodytext1"/>
        </w:rPr>
        <w:t>Sjednaná lhůta pro zaplacení smluvní ceny je 30 kalendářních dnů a běží ode dne, kdy Příkazce obdrží od Příkazníka vyúčtování provedených prací, které musí obsahovat náležitosti účetního dokladu (faktury) stanovené v § 11 zák. č. 563/1991 Sb., o účetnictví.</w:t>
      </w:r>
    </w:p>
    <w:p w14:paraId="7146833D" w14:textId="77777777" w:rsidR="003D5E05" w:rsidRDefault="00245808">
      <w:pPr>
        <w:pStyle w:val="Bodytext10"/>
        <w:numPr>
          <w:ilvl w:val="1"/>
          <w:numId w:val="6"/>
        </w:numPr>
        <w:tabs>
          <w:tab w:val="left" w:pos="875"/>
        </w:tabs>
        <w:spacing w:after="460" w:line="271" w:lineRule="auto"/>
        <w:ind w:left="860" w:hanging="660"/>
        <w:jc w:val="both"/>
      </w:pPr>
      <w:r>
        <w:rPr>
          <w:rStyle w:val="Bodytext1"/>
        </w:rPr>
        <w:t>Nebude-li účetní doklad (faktura) obsahovat stanovené náležitosti, je Příkazce oprávněn fakturu vrátit k přepracování. V tomto případě neplatí původní lhůta splatnosti, ale celá lhůta splatnosti běží znovu ode dne doručení opravené nebo nově vystavené faktury.</w:t>
      </w:r>
    </w:p>
    <w:p w14:paraId="3925B033" w14:textId="77777777" w:rsidR="003D5E05" w:rsidRDefault="00245808">
      <w:pPr>
        <w:pStyle w:val="Heading310"/>
        <w:keepNext/>
        <w:keepLines/>
        <w:numPr>
          <w:ilvl w:val="0"/>
          <w:numId w:val="6"/>
        </w:numPr>
        <w:tabs>
          <w:tab w:val="left" w:pos="482"/>
        </w:tabs>
        <w:spacing w:after="260" w:line="240" w:lineRule="auto"/>
      </w:pPr>
      <w:bookmarkStart w:id="5" w:name="bookmark10"/>
      <w:r>
        <w:rPr>
          <w:rStyle w:val="Heading31"/>
          <w:b/>
          <w:bCs/>
        </w:rPr>
        <w:t>Doba trvání Smlouvy a místo plnění</w:t>
      </w:r>
      <w:bookmarkEnd w:id="5"/>
    </w:p>
    <w:p w14:paraId="75E563E0" w14:textId="77777777" w:rsidR="003D5E05" w:rsidRDefault="00245808">
      <w:pPr>
        <w:pStyle w:val="Bodytext10"/>
        <w:numPr>
          <w:ilvl w:val="1"/>
          <w:numId w:val="6"/>
        </w:numPr>
        <w:tabs>
          <w:tab w:val="left" w:pos="862"/>
        </w:tabs>
        <w:ind w:firstLine="200"/>
        <w:jc w:val="both"/>
      </w:pPr>
      <w:r>
        <w:rPr>
          <w:rStyle w:val="Bodytext1"/>
        </w:rPr>
        <w:t>Tato Smlouva se uzavírá na 3 roky.</w:t>
      </w:r>
    </w:p>
    <w:p w14:paraId="7C356FEC" w14:textId="77777777" w:rsidR="003D5E05" w:rsidRDefault="00245808">
      <w:pPr>
        <w:pStyle w:val="Bodytext10"/>
        <w:numPr>
          <w:ilvl w:val="1"/>
          <w:numId w:val="6"/>
        </w:numPr>
        <w:tabs>
          <w:tab w:val="left" w:pos="875"/>
        </w:tabs>
        <w:spacing w:after="460"/>
        <w:ind w:left="860" w:hanging="660"/>
        <w:jc w:val="both"/>
      </w:pPr>
      <w:r>
        <w:rPr>
          <w:rStyle w:val="Bodytext1"/>
        </w:rPr>
        <w:t>Místem plnění je sídlo Příkazníka, popřípadě sídlo Příkazce, nebude-li smluvními stranami stanoveno jinak.</w:t>
      </w:r>
    </w:p>
    <w:p w14:paraId="2913B223" w14:textId="77777777" w:rsidR="003D5E05" w:rsidRDefault="00245808">
      <w:pPr>
        <w:pStyle w:val="Heading310"/>
        <w:keepNext/>
        <w:keepLines/>
        <w:numPr>
          <w:ilvl w:val="0"/>
          <w:numId w:val="6"/>
        </w:numPr>
        <w:tabs>
          <w:tab w:val="left" w:pos="482"/>
        </w:tabs>
        <w:spacing w:line="271" w:lineRule="auto"/>
      </w:pPr>
      <w:bookmarkStart w:id="6" w:name="bookmark12"/>
      <w:r>
        <w:rPr>
          <w:rStyle w:val="Heading31"/>
          <w:b/>
          <w:bCs/>
        </w:rPr>
        <w:lastRenderedPageBreak/>
        <w:t>Práva a povinnosti stran</w:t>
      </w:r>
      <w:bookmarkEnd w:id="6"/>
    </w:p>
    <w:p w14:paraId="73A5B6DD" w14:textId="77777777" w:rsidR="003D5E05" w:rsidRDefault="00245808">
      <w:pPr>
        <w:pStyle w:val="Bodytext10"/>
        <w:numPr>
          <w:ilvl w:val="1"/>
          <w:numId w:val="6"/>
        </w:numPr>
        <w:tabs>
          <w:tab w:val="left" w:pos="875"/>
        </w:tabs>
        <w:spacing w:line="271" w:lineRule="auto"/>
        <w:ind w:left="860" w:hanging="660"/>
        <w:jc w:val="both"/>
      </w:pPr>
      <w:r>
        <w:rPr>
          <w:rStyle w:val="Bodytext1"/>
        </w:rPr>
        <w:t>Příkazník je povinen při plnění Smlouvy postupovat s odbornou péčí v zájmu Příkazce, pečlivě a poctivě podle svých schopností, dle právních předpisů. Při plnění Smlouvy použije Příkazník každého prostředku, kterého vyžaduje povaha obstarávané záležitosti, a takového prostředku, který se shoduje s vůlí Příkazce.</w:t>
      </w:r>
    </w:p>
    <w:p w14:paraId="3765276F" w14:textId="77777777" w:rsidR="003D5E05" w:rsidRDefault="00245808">
      <w:pPr>
        <w:pStyle w:val="Bodytext10"/>
        <w:numPr>
          <w:ilvl w:val="1"/>
          <w:numId w:val="6"/>
        </w:numPr>
        <w:tabs>
          <w:tab w:val="left" w:pos="670"/>
        </w:tabs>
        <w:spacing w:line="276" w:lineRule="auto"/>
        <w:ind w:left="660" w:hanging="660"/>
        <w:jc w:val="both"/>
      </w:pPr>
      <w:r>
        <w:rPr>
          <w:rStyle w:val="Bodytext1"/>
        </w:rPr>
        <w:t>Příkazce je oprávněn Úkol v průběhu jeho provádění kontrolovat prostřednictvím pověřené osoby.</w:t>
      </w:r>
    </w:p>
    <w:p w14:paraId="3EA69D93" w14:textId="77777777" w:rsidR="003D5E05" w:rsidRDefault="00245808">
      <w:pPr>
        <w:pStyle w:val="Bodytext10"/>
        <w:numPr>
          <w:ilvl w:val="1"/>
          <w:numId w:val="6"/>
        </w:numPr>
        <w:tabs>
          <w:tab w:val="left" w:pos="670"/>
        </w:tabs>
        <w:spacing w:line="271" w:lineRule="auto"/>
        <w:jc w:val="both"/>
      </w:pPr>
      <w:r>
        <w:rPr>
          <w:rStyle w:val="Bodytext1"/>
        </w:rPr>
        <w:t>Příkazce je povinen poskytnout Příkazníkovi potřebnou součinnost ke splnění Úkolu.</w:t>
      </w:r>
    </w:p>
    <w:p w14:paraId="18F7D87C" w14:textId="77777777" w:rsidR="003D5E05" w:rsidRDefault="00245808">
      <w:pPr>
        <w:pStyle w:val="Bodytext10"/>
        <w:numPr>
          <w:ilvl w:val="1"/>
          <w:numId w:val="6"/>
        </w:numPr>
        <w:tabs>
          <w:tab w:val="left" w:pos="670"/>
        </w:tabs>
        <w:spacing w:line="271" w:lineRule="auto"/>
        <w:jc w:val="both"/>
      </w:pPr>
      <w:r>
        <w:rPr>
          <w:rStyle w:val="Bodytext1"/>
        </w:rPr>
        <w:t>Příkazník je povinen:</w:t>
      </w:r>
    </w:p>
    <w:p w14:paraId="7738DCD8" w14:textId="77777777" w:rsidR="003D5E05" w:rsidRDefault="00245808">
      <w:pPr>
        <w:pStyle w:val="Bodytext10"/>
        <w:numPr>
          <w:ilvl w:val="2"/>
          <w:numId w:val="6"/>
        </w:numPr>
        <w:tabs>
          <w:tab w:val="left" w:pos="1515"/>
        </w:tabs>
        <w:spacing w:line="271" w:lineRule="auto"/>
        <w:ind w:firstLine="860"/>
        <w:jc w:val="both"/>
      </w:pPr>
      <w:r>
        <w:rPr>
          <w:rStyle w:val="Bodytext1"/>
        </w:rPr>
        <w:t xml:space="preserve">postupovat při plnění Úkolu v </w:t>
      </w:r>
      <w:r>
        <w:rPr>
          <w:rStyle w:val="Bodytext1"/>
        </w:rPr>
        <w:t>souladu s platnými právními předpisy,</w:t>
      </w:r>
    </w:p>
    <w:p w14:paraId="5B7D3577" w14:textId="77777777" w:rsidR="003D5E05" w:rsidRDefault="00245808">
      <w:pPr>
        <w:pStyle w:val="Bodytext10"/>
        <w:numPr>
          <w:ilvl w:val="2"/>
          <w:numId w:val="6"/>
        </w:numPr>
        <w:tabs>
          <w:tab w:val="left" w:pos="1515"/>
        </w:tabs>
        <w:spacing w:line="271" w:lineRule="auto"/>
        <w:ind w:firstLine="860"/>
        <w:jc w:val="both"/>
      </w:pPr>
      <w:r>
        <w:rPr>
          <w:rStyle w:val="Bodytext1"/>
        </w:rPr>
        <w:t>při plnění využívat výsledků dosaženého stupně rozvoje vědy a techniky,</w:t>
      </w:r>
    </w:p>
    <w:p w14:paraId="6D78FEC1" w14:textId="77777777" w:rsidR="003D5E05" w:rsidRDefault="00245808">
      <w:pPr>
        <w:pStyle w:val="Bodytext10"/>
        <w:numPr>
          <w:ilvl w:val="2"/>
          <w:numId w:val="6"/>
        </w:numPr>
        <w:tabs>
          <w:tab w:val="left" w:pos="1515"/>
        </w:tabs>
        <w:spacing w:line="271" w:lineRule="auto"/>
        <w:ind w:firstLine="860"/>
        <w:jc w:val="both"/>
      </w:pPr>
      <w:r>
        <w:rPr>
          <w:rStyle w:val="Bodytext1"/>
        </w:rPr>
        <w:t>plnit Úkol na vysoké odborné úrovni a v dohodnutém termínu,</w:t>
      </w:r>
    </w:p>
    <w:p w14:paraId="55D21ADD" w14:textId="77777777" w:rsidR="003D5E05" w:rsidRDefault="00245808">
      <w:pPr>
        <w:pStyle w:val="Bodytext10"/>
        <w:numPr>
          <w:ilvl w:val="2"/>
          <w:numId w:val="6"/>
        </w:numPr>
        <w:tabs>
          <w:tab w:val="left" w:pos="1535"/>
        </w:tabs>
        <w:spacing w:line="276" w:lineRule="auto"/>
        <w:ind w:left="1540" w:hanging="660"/>
        <w:jc w:val="both"/>
      </w:pPr>
      <w:r>
        <w:rPr>
          <w:rStyle w:val="Bodytext1"/>
        </w:rPr>
        <w:t>informovat neprodleně Příkazce o všech skutečnostech, které by mohly podstatným způsobem ohrozit splnění Úkolu,</w:t>
      </w:r>
    </w:p>
    <w:p w14:paraId="785D67B9" w14:textId="77777777" w:rsidR="003D5E05" w:rsidRDefault="00245808">
      <w:pPr>
        <w:pStyle w:val="Bodytext10"/>
        <w:numPr>
          <w:ilvl w:val="2"/>
          <w:numId w:val="6"/>
        </w:numPr>
        <w:tabs>
          <w:tab w:val="left" w:pos="1535"/>
        </w:tabs>
        <w:spacing w:line="264" w:lineRule="auto"/>
        <w:ind w:left="1540" w:hanging="660"/>
        <w:jc w:val="both"/>
      </w:pPr>
      <w:r>
        <w:rPr>
          <w:rStyle w:val="Bodytext1"/>
        </w:rPr>
        <w:t>pokud je to relevantní, předat výstupy splněného Úkolu k využívání všem oznámeným subjektům pro činnosti související s předmětem této Smlouvy.</w:t>
      </w:r>
    </w:p>
    <w:p w14:paraId="32612370" w14:textId="77777777" w:rsidR="003D5E05" w:rsidRDefault="00245808">
      <w:pPr>
        <w:pStyle w:val="Bodytext10"/>
        <w:numPr>
          <w:ilvl w:val="1"/>
          <w:numId w:val="6"/>
        </w:numPr>
        <w:tabs>
          <w:tab w:val="left" w:pos="670"/>
        </w:tabs>
        <w:ind w:left="660" w:hanging="660"/>
        <w:jc w:val="both"/>
      </w:pPr>
      <w:r>
        <w:rPr>
          <w:rStyle w:val="Bodytext1"/>
        </w:rPr>
        <w:t xml:space="preserve">Příkazník se zavazuje po celou dobu plnění této Smlouvy postupovat ve vztahu ke všem osobám podílejícím se na jejím plnění v souladu správními předpisy upravujícími pracovněprávní vztahy, zejména pak v souladu se zákonem č. 262/2006 Sb., zákoník práce, ve znění pozdějších předpisů, a zákonem č. 309/2006 Sb., kterým se upravují další požadavky bezpečnosti a ochrany zdraví při práci v pracovněprávních vztazích a o zajištění bezpečnosti a ochrany zdraví při činnosti nebo poskytování služeb mimo pracovněprávní </w:t>
      </w:r>
      <w:r>
        <w:rPr>
          <w:rStyle w:val="Bodytext1"/>
        </w:rPr>
        <w:t>vztahy (zákon o zajištění dalších podmínek bezpečnosti a ochrany zdraví při práci). Plnění povinnosti dle předchozí věty se Příkazník zavazuje vyžadovat u všech svých poddodavatelů a spolupracovníků, kteří se podílejí na plnění této Smlouvy.</w:t>
      </w:r>
    </w:p>
    <w:p w14:paraId="539943A6" w14:textId="77777777" w:rsidR="003D5E05" w:rsidRDefault="00245808">
      <w:pPr>
        <w:pStyle w:val="Bodytext10"/>
        <w:numPr>
          <w:ilvl w:val="1"/>
          <w:numId w:val="6"/>
        </w:numPr>
        <w:tabs>
          <w:tab w:val="left" w:pos="670"/>
        </w:tabs>
        <w:spacing w:line="276" w:lineRule="auto"/>
        <w:ind w:left="680" w:hanging="680"/>
        <w:jc w:val="both"/>
      </w:pPr>
      <w:r>
        <w:rPr>
          <w:rStyle w:val="Bodytext1"/>
        </w:rPr>
        <w:t>Příkazník se zavazuje po dobu plnění této Smlouvy platit svým poddodavatelům, kteří se na ní podílejí. V případě, že se na plnění této Smlouvy podílí poddodavatel Příkazníka, Příkazník se zavazuje, že:</w:t>
      </w:r>
    </w:p>
    <w:p w14:paraId="39C5077B" w14:textId="77777777" w:rsidR="003D5E05" w:rsidRDefault="00245808">
      <w:pPr>
        <w:pStyle w:val="Bodytext10"/>
        <w:numPr>
          <w:ilvl w:val="2"/>
          <w:numId w:val="6"/>
        </w:numPr>
        <w:tabs>
          <w:tab w:val="left" w:pos="1578"/>
        </w:tabs>
        <w:spacing w:line="271" w:lineRule="auto"/>
        <w:ind w:left="1600" w:hanging="720"/>
        <w:jc w:val="both"/>
      </w:pPr>
      <w:r>
        <w:rPr>
          <w:rStyle w:val="Bodytext1"/>
        </w:rPr>
        <w:t xml:space="preserve">si sjedná a bude dodržovat smluvní podmínky se svými poddodavateli srovnatelnými s podmínkami sjednanými ve Smlouvě, a to v rozsahu výše smluvních </w:t>
      </w:r>
      <w:r>
        <w:rPr>
          <w:rStyle w:val="Bodytext1"/>
        </w:rPr>
        <w:t>pokut a délky záruční doby. Uvedené smluvní podmínky se považují za srovnatelné, bude-li výše smluvních pokut a délka záruční doby shodná se Smlouvou;</w:t>
      </w:r>
    </w:p>
    <w:p w14:paraId="56BCBACC" w14:textId="77777777" w:rsidR="003D5E05" w:rsidRDefault="00245808">
      <w:pPr>
        <w:pStyle w:val="Bodytext10"/>
        <w:numPr>
          <w:ilvl w:val="2"/>
          <w:numId w:val="6"/>
        </w:numPr>
        <w:tabs>
          <w:tab w:val="left" w:pos="1578"/>
        </w:tabs>
        <w:spacing w:after="440"/>
        <w:ind w:left="1600" w:hanging="720"/>
        <w:jc w:val="both"/>
      </w:pPr>
      <w:r>
        <w:rPr>
          <w:rStyle w:val="Bodytext1"/>
        </w:rPr>
        <w:t>bude řádně a včas plnit finanční závazky svým poddodavatelům, kdy za řádné a včasné plnění se považuje plné uhrazení poddodavatelem vystavených faktur za plnění poskytnutá za plnění této Smlouvy (nebo jeho části), a to vždy do 15 dnů od obdržení platby ze strany Příkazce za konkrétní plnění.</w:t>
      </w:r>
    </w:p>
    <w:p w14:paraId="2156F808" w14:textId="77777777" w:rsidR="003D5E05" w:rsidRDefault="00245808">
      <w:pPr>
        <w:pStyle w:val="Heading310"/>
        <w:keepNext/>
        <w:keepLines/>
        <w:numPr>
          <w:ilvl w:val="0"/>
          <w:numId w:val="6"/>
        </w:numPr>
        <w:tabs>
          <w:tab w:val="left" w:pos="414"/>
        </w:tabs>
      </w:pPr>
      <w:bookmarkStart w:id="7" w:name="bookmark14"/>
      <w:r>
        <w:rPr>
          <w:rStyle w:val="Heading31"/>
          <w:b/>
          <w:bCs/>
        </w:rPr>
        <w:lastRenderedPageBreak/>
        <w:t>Ukončení Smlouvy</w:t>
      </w:r>
      <w:bookmarkEnd w:id="7"/>
    </w:p>
    <w:p w14:paraId="20760F2B" w14:textId="77777777" w:rsidR="003D5E05" w:rsidRDefault="00245808">
      <w:pPr>
        <w:pStyle w:val="Bodytext10"/>
        <w:numPr>
          <w:ilvl w:val="1"/>
          <w:numId w:val="6"/>
        </w:numPr>
        <w:tabs>
          <w:tab w:val="left" w:pos="885"/>
        </w:tabs>
        <w:ind w:left="880" w:hanging="680"/>
        <w:jc w:val="both"/>
      </w:pPr>
      <w:r>
        <w:rPr>
          <w:rStyle w:val="Bodytext1"/>
        </w:rPr>
        <w:t>Příkazce je oprávněn ukončit tuto Smlouvu za podmínek uvedených v ustanovení § 2443 občanského zákoníku.</w:t>
      </w:r>
    </w:p>
    <w:p w14:paraId="6C30AA4D" w14:textId="77777777" w:rsidR="003D5E05" w:rsidRDefault="00245808">
      <w:pPr>
        <w:pStyle w:val="Bodytext10"/>
        <w:numPr>
          <w:ilvl w:val="1"/>
          <w:numId w:val="6"/>
        </w:numPr>
        <w:tabs>
          <w:tab w:val="left" w:pos="885"/>
        </w:tabs>
        <w:ind w:left="880" w:hanging="680"/>
        <w:jc w:val="both"/>
      </w:pPr>
      <w:r>
        <w:rPr>
          <w:rStyle w:val="Bodytext1"/>
        </w:rPr>
        <w:t>Příkazce je oprávněn od této Smlouvy odstoupit v případě, že by bylo rozhodnuto o úpadku Příkazníka ve smyslu zákona č. 182/2006 Sb., o úpadku a způsobech jeho řešení (insolvenční zákon), ve znění pozdějších předpisů.</w:t>
      </w:r>
    </w:p>
    <w:p w14:paraId="22024954" w14:textId="77777777" w:rsidR="003D5E05" w:rsidRDefault="00245808">
      <w:pPr>
        <w:pStyle w:val="Bodytext10"/>
        <w:numPr>
          <w:ilvl w:val="1"/>
          <w:numId w:val="6"/>
        </w:numPr>
        <w:tabs>
          <w:tab w:val="left" w:pos="885"/>
        </w:tabs>
        <w:ind w:left="880" w:hanging="680"/>
        <w:jc w:val="both"/>
      </w:pPr>
      <w:r>
        <w:rPr>
          <w:rStyle w:val="Bodytext1"/>
        </w:rPr>
        <w:t>Příkazce je oprávněn od této Smlouvy odstoupit, poruší-li Příkazník povinnost mlčenlivosti dle této Smlouvy.</w:t>
      </w:r>
    </w:p>
    <w:p w14:paraId="4CC3F102" w14:textId="77777777" w:rsidR="003D5E05" w:rsidRDefault="00245808">
      <w:pPr>
        <w:pStyle w:val="Bodytext10"/>
        <w:numPr>
          <w:ilvl w:val="1"/>
          <w:numId w:val="6"/>
        </w:numPr>
        <w:tabs>
          <w:tab w:val="left" w:pos="885"/>
        </w:tabs>
        <w:spacing w:after="440"/>
        <w:ind w:left="880" w:hanging="680"/>
        <w:jc w:val="both"/>
      </w:pPr>
      <w:r>
        <w:rPr>
          <w:rStyle w:val="Bodytext1"/>
        </w:rPr>
        <w:t>V případě předčasného ukončení této Smlouvy předá Příkazník Příkazci veškeré hmotné výstupy plnění, které získal v rámci obstarávání záležitosti dle této Smlouvy.</w:t>
      </w:r>
    </w:p>
    <w:p w14:paraId="1401BD3C" w14:textId="77777777" w:rsidR="003D5E05" w:rsidRDefault="00245808">
      <w:pPr>
        <w:pStyle w:val="Heading310"/>
        <w:keepNext/>
        <w:keepLines/>
        <w:numPr>
          <w:ilvl w:val="0"/>
          <w:numId w:val="7"/>
        </w:numPr>
        <w:tabs>
          <w:tab w:val="left" w:pos="414"/>
        </w:tabs>
      </w:pPr>
      <w:bookmarkStart w:id="8" w:name="bookmark16"/>
      <w:r>
        <w:rPr>
          <w:rStyle w:val="Heading31"/>
          <w:b/>
          <w:bCs/>
        </w:rPr>
        <w:t>Veřejnoprávní povinnosti Příkazce</w:t>
      </w:r>
      <w:bookmarkEnd w:id="8"/>
    </w:p>
    <w:p w14:paraId="21C562AB" w14:textId="77777777" w:rsidR="003D5E05" w:rsidRDefault="00245808">
      <w:pPr>
        <w:pStyle w:val="Bodytext10"/>
        <w:numPr>
          <w:ilvl w:val="1"/>
          <w:numId w:val="7"/>
        </w:numPr>
        <w:tabs>
          <w:tab w:val="left" w:pos="885"/>
        </w:tabs>
        <w:ind w:left="880" w:hanging="680"/>
        <w:jc w:val="both"/>
      </w:pPr>
      <w:r>
        <w:rPr>
          <w:rStyle w:val="Bodytext1"/>
        </w:rPr>
        <w:t xml:space="preserve">Příkazník bere výslovně na vědomí, že Příkazce má podle ustanovení § 2 odst. 1 písm. b) zákona č. 340/2015 Sb., o zvláštních podmínkách účinnosti některých smluv, uveřejňování těchto smluv a o registru smluv (zákon o registru smluv), ve znění pozdějších předpisů (dále jen </w:t>
      </w:r>
      <w:r>
        <w:rPr>
          <w:rStyle w:val="Bodytext1"/>
          <w:b/>
          <w:bCs/>
        </w:rPr>
        <w:t xml:space="preserve">„zákon o registru smluv"), </w:t>
      </w:r>
      <w:r>
        <w:rPr>
          <w:rStyle w:val="Bodytext1"/>
        </w:rPr>
        <w:t>charakter subjektu, s nímž uzavřené soukromoprávní smlouvy, jakož i smlouvy o poskytnutí dotace nebo návratné finanční pomoci podléhají povinnému uveřejnění postupem a za podmínek podle zákona o registru smluv.</w:t>
      </w:r>
    </w:p>
    <w:p w14:paraId="2C66F29E" w14:textId="77777777" w:rsidR="003D5E05" w:rsidRDefault="00245808">
      <w:pPr>
        <w:pStyle w:val="Bodytext10"/>
        <w:numPr>
          <w:ilvl w:val="1"/>
          <w:numId w:val="7"/>
        </w:numPr>
        <w:tabs>
          <w:tab w:val="left" w:pos="686"/>
        </w:tabs>
        <w:ind w:left="660" w:hanging="660"/>
        <w:jc w:val="both"/>
      </w:pPr>
      <w:r>
        <w:rPr>
          <w:rStyle w:val="Bodytext1"/>
        </w:rPr>
        <w:t>Příkazník je srozuměn a výslovně a bezvýhradně souhlasí s tím, že úplné znění této Smlouvy včetně všech příloh bude uveřejněno v registru smluv, postupem a za podmínek podle zákona o registru smluv. Příkazník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04766F98" w14:textId="77777777" w:rsidR="003D5E05" w:rsidRDefault="00245808">
      <w:pPr>
        <w:pStyle w:val="Bodytext10"/>
        <w:numPr>
          <w:ilvl w:val="1"/>
          <w:numId w:val="7"/>
        </w:numPr>
        <w:tabs>
          <w:tab w:val="left" w:pos="686"/>
        </w:tabs>
        <w:ind w:left="660" w:hanging="660"/>
        <w:jc w:val="both"/>
      </w:pPr>
      <w:r>
        <w:rPr>
          <w:rStyle w:val="Bodytext1"/>
        </w:rPr>
        <w:t>Smluvní strany výslovně prohlašují, že veškeré informace, údaje a skutečnosti obsažené v 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ve znění pozdějších předpisů), bankovní tajemství (ve smyslu ustanovení § 38 odst. 1 zákona č. 21/1992 Sb., o bankách, ve znění pozdějších p</w:t>
      </w:r>
      <w:r>
        <w:rPr>
          <w:rStyle w:val="Bodytext1"/>
        </w:rPr>
        <w:t>ředpisů) a utajované informace (ve smyslu příslušných ustanovení zákona č. 412/2005 Sb., o ochraně utajovaných informací a o bezpečnostní způsobilosti, ve znění pozdějších předpisů) a udělují svůj výslovný souhlas k jejich uveřejnění bez stanovení jakýchkoliv dalších podmínek.</w:t>
      </w:r>
    </w:p>
    <w:p w14:paraId="4EA3C5AD" w14:textId="77777777" w:rsidR="003D5E05" w:rsidRDefault="00245808">
      <w:pPr>
        <w:pStyle w:val="Bodytext10"/>
        <w:numPr>
          <w:ilvl w:val="1"/>
          <w:numId w:val="7"/>
        </w:numPr>
        <w:tabs>
          <w:tab w:val="left" w:pos="686"/>
        </w:tabs>
        <w:ind w:left="660" w:hanging="660"/>
        <w:jc w:val="both"/>
      </w:pPr>
      <w:r>
        <w:rPr>
          <w:rStyle w:val="Bodytext1"/>
        </w:rPr>
        <w:t>Příkazce se zavazuje uveřejnit tuto Smlouvu prostřednictvím registru smluv ve smyslu zákona o registru smluv bez zbytečného odkladu po jejím podpisu oběma účastníky, nejpozději však do 15 dnů od uzavření této Smlouvy.</w:t>
      </w:r>
    </w:p>
    <w:p w14:paraId="7BE3652C" w14:textId="77777777" w:rsidR="003D5E05" w:rsidRDefault="00245808">
      <w:pPr>
        <w:pStyle w:val="Bodytext10"/>
        <w:numPr>
          <w:ilvl w:val="1"/>
          <w:numId w:val="7"/>
        </w:numPr>
        <w:tabs>
          <w:tab w:val="left" w:pos="686"/>
        </w:tabs>
        <w:spacing w:after="540" w:line="266" w:lineRule="auto"/>
        <w:ind w:left="660" w:hanging="660"/>
        <w:jc w:val="both"/>
      </w:pPr>
      <w:r>
        <w:rPr>
          <w:rStyle w:val="Bodytext1"/>
        </w:rPr>
        <w:t xml:space="preserve">Smluvní strany berou na vědomí, že Příkazce je povinen poskytnout informace v </w:t>
      </w:r>
      <w:r>
        <w:rPr>
          <w:rStyle w:val="Bodytext1"/>
        </w:rPr>
        <w:t xml:space="preserve">souladu se zákonem č. 106/1999 Sb., o svobodném přístupu k informacím, ve znění pozdějších předpisů, a souhlasí s tím, aby veškeré informace obsažené v této Smlouvě </w:t>
      </w:r>
      <w:r>
        <w:rPr>
          <w:rStyle w:val="Bodytext1"/>
        </w:rPr>
        <w:lastRenderedPageBreak/>
        <w:t>byly bez výjimky poskytnuty třetím osobám, pokud o ně požádají.</w:t>
      </w:r>
    </w:p>
    <w:p w14:paraId="5DAD3554" w14:textId="77777777" w:rsidR="003D5E05" w:rsidRDefault="00245808">
      <w:pPr>
        <w:pStyle w:val="Heading310"/>
        <w:keepNext/>
        <w:keepLines/>
        <w:numPr>
          <w:ilvl w:val="0"/>
          <w:numId w:val="7"/>
        </w:numPr>
        <w:tabs>
          <w:tab w:val="left" w:pos="346"/>
        </w:tabs>
        <w:spacing w:after="100"/>
      </w:pPr>
      <w:bookmarkStart w:id="9" w:name="bookmark18"/>
      <w:r>
        <w:rPr>
          <w:rStyle w:val="Heading31"/>
          <w:b/>
          <w:bCs/>
        </w:rPr>
        <w:t>Závazek implementace společenské odpovědnosti, střet zájmů</w:t>
      </w:r>
      <w:bookmarkEnd w:id="9"/>
    </w:p>
    <w:p w14:paraId="58E3CA88" w14:textId="77777777" w:rsidR="003D5E05" w:rsidRDefault="00245808">
      <w:pPr>
        <w:pStyle w:val="Bodytext10"/>
        <w:numPr>
          <w:ilvl w:val="1"/>
          <w:numId w:val="7"/>
        </w:numPr>
        <w:tabs>
          <w:tab w:val="left" w:pos="686"/>
        </w:tabs>
        <w:ind w:left="660" w:hanging="660"/>
        <w:jc w:val="both"/>
      </w:pPr>
      <w:r>
        <w:rPr>
          <w:rStyle w:val="Bodytext1"/>
        </w:rPr>
        <w:t>Příkazník je povinen zajistit, aby byly do průběhu plnění dle této Smlouvy zapojené pouze osoby splňující veškeré podmínky dle právních předpisů a disponující se všemi potřebnými povoleními.</w:t>
      </w:r>
    </w:p>
    <w:p w14:paraId="35DD9647" w14:textId="77777777" w:rsidR="003D5E05" w:rsidRDefault="00245808">
      <w:pPr>
        <w:pStyle w:val="Bodytext10"/>
        <w:numPr>
          <w:ilvl w:val="1"/>
          <w:numId w:val="7"/>
        </w:numPr>
        <w:tabs>
          <w:tab w:val="left" w:pos="686"/>
        </w:tabs>
        <w:ind w:left="660" w:hanging="660"/>
        <w:jc w:val="both"/>
      </w:pPr>
      <w:r>
        <w:rPr>
          <w:rStyle w:val="Bodytext1"/>
        </w:rPr>
        <w:t>Příkazník, je-li obchodní společností, prohlašuje, že osoba naplňující definici veřejného funkcionáře ve smyslu ust. § 2 odst. 1 písm. c) zákona č. 159/2006 Sb., o střetu zájmů, ve znění pozdějších předpisů nebo touto osobou ovládaná osoba, nevlastní ve Příkazníkovi podíl o velikosti nejméně 25 % účasti společníka v obchodní společnosti. Obdobně Příkazník prohlašuje, že prohlášení dle předchozí věty se uplatní i na poddodavatele, prostřednictvím kterého Příkazník prokazoval kvalifikaci v zadávacím řízení př</w:t>
      </w:r>
      <w:r>
        <w:rPr>
          <w:rStyle w:val="Bodytext1"/>
        </w:rPr>
        <w:t>edcházející uzavření této Smlouvy.</w:t>
      </w:r>
    </w:p>
    <w:p w14:paraId="10DAF797" w14:textId="77777777" w:rsidR="003D5E05" w:rsidRDefault="00245808">
      <w:pPr>
        <w:pStyle w:val="Heading310"/>
        <w:keepNext/>
        <w:keepLines/>
        <w:spacing w:after="260" w:line="240" w:lineRule="auto"/>
      </w:pPr>
      <w:bookmarkStart w:id="10" w:name="bookmark20"/>
      <w:r>
        <w:rPr>
          <w:rStyle w:val="Heading31"/>
          <w:b/>
          <w:bCs/>
        </w:rPr>
        <w:t>8 Závěrečná ustanovení</w:t>
      </w:r>
      <w:bookmarkEnd w:id="10"/>
    </w:p>
    <w:p w14:paraId="3B590E82" w14:textId="77777777" w:rsidR="003D5E05" w:rsidRDefault="00245808">
      <w:pPr>
        <w:pStyle w:val="Bodytext10"/>
        <w:numPr>
          <w:ilvl w:val="1"/>
          <w:numId w:val="8"/>
        </w:numPr>
        <w:tabs>
          <w:tab w:val="left" w:pos="677"/>
        </w:tabs>
        <w:spacing w:line="276" w:lineRule="auto"/>
        <w:ind w:left="660" w:hanging="660"/>
        <w:jc w:val="both"/>
      </w:pPr>
      <w:r>
        <w:rPr>
          <w:rStyle w:val="Bodytext1"/>
        </w:rPr>
        <w:t>Příkazce uveřejní tuto Smlouvu v registru smluv dle zák. č. 340/2015 Sb. ve znění pozdějších předpisů, s čímž Příkazník souhlasí. Tato Smlouva nabývá platnosti dnem podpisu a účinnosti dnem jejího uveřejnění v registru smluv.</w:t>
      </w:r>
    </w:p>
    <w:p w14:paraId="628E62F9" w14:textId="77777777" w:rsidR="003D5E05" w:rsidRDefault="00245808">
      <w:pPr>
        <w:pStyle w:val="Bodytext10"/>
        <w:numPr>
          <w:ilvl w:val="1"/>
          <w:numId w:val="8"/>
        </w:numPr>
        <w:tabs>
          <w:tab w:val="left" w:pos="677"/>
        </w:tabs>
        <w:ind w:left="660" w:hanging="660"/>
        <w:jc w:val="both"/>
      </w:pPr>
      <w:r>
        <w:rPr>
          <w:rStyle w:val="Bodytext1"/>
        </w:rPr>
        <w:t>Nestanoví-li tato Smlouva pro konkrétní případ výslovně jinak, lze ji měnit jen písemným dodatkem, uzavřeným mezi smluvními stranami.</w:t>
      </w:r>
    </w:p>
    <w:p w14:paraId="0B77CAD1" w14:textId="77777777" w:rsidR="003D5E05" w:rsidRDefault="00245808">
      <w:pPr>
        <w:pStyle w:val="Bodytext10"/>
        <w:numPr>
          <w:ilvl w:val="1"/>
          <w:numId w:val="8"/>
        </w:numPr>
        <w:tabs>
          <w:tab w:val="left" w:pos="677"/>
        </w:tabs>
        <w:spacing w:line="271" w:lineRule="auto"/>
        <w:ind w:left="660" w:hanging="660"/>
        <w:jc w:val="both"/>
      </w:pPr>
      <w:r>
        <w:rPr>
          <w:rStyle w:val="Bodytext1"/>
        </w:rPr>
        <w:t>Příkazník bere na vědomí, že podle § 2 písm. e) zákona č. 320/2001 Sb., o finanční kontrole, ve znění pozdějších předpisů, je osobou povinnou spolupůsobit při výkonu finanční kontroly, a zavazuje se plnit veškeré povinnosti z uvedeného vyplývající.</w:t>
      </w:r>
    </w:p>
    <w:p w14:paraId="0DAC7E09" w14:textId="77777777" w:rsidR="003D5E05" w:rsidRDefault="00245808">
      <w:pPr>
        <w:pStyle w:val="Bodytext10"/>
        <w:numPr>
          <w:ilvl w:val="1"/>
          <w:numId w:val="8"/>
        </w:numPr>
        <w:tabs>
          <w:tab w:val="left" w:pos="677"/>
        </w:tabs>
        <w:ind w:left="660" w:hanging="660"/>
        <w:jc w:val="both"/>
      </w:pPr>
      <w:r>
        <w:rPr>
          <w:rStyle w:val="Bodytext1"/>
        </w:rPr>
        <w:t>Smluvní strany sjednávají, že právní vztah založený touto Smlouvou se řídí právem České republiky s vyloučením jeho kolizních norem.</w:t>
      </w:r>
    </w:p>
    <w:p w14:paraId="2D6BC509" w14:textId="77777777" w:rsidR="003D5E05" w:rsidRDefault="00245808">
      <w:pPr>
        <w:pStyle w:val="Bodytext10"/>
        <w:numPr>
          <w:ilvl w:val="1"/>
          <w:numId w:val="8"/>
        </w:numPr>
        <w:tabs>
          <w:tab w:val="left" w:pos="677"/>
        </w:tabs>
        <w:spacing w:line="276" w:lineRule="auto"/>
        <w:ind w:left="660" w:hanging="660"/>
        <w:jc w:val="both"/>
      </w:pPr>
      <w:r>
        <w:rPr>
          <w:rStyle w:val="Bodytext1"/>
        </w:rPr>
        <w:t>Tato Smlouva je sepsána ve 2 stejnopisech. Každá smluvní strana obdrží 1 stejnopis.</w:t>
      </w:r>
    </w:p>
    <w:p w14:paraId="1A72B2BA" w14:textId="77777777" w:rsidR="003D5E05" w:rsidRDefault="00245808">
      <w:pPr>
        <w:pStyle w:val="Bodytext10"/>
        <w:numPr>
          <w:ilvl w:val="1"/>
          <w:numId w:val="8"/>
        </w:numPr>
        <w:tabs>
          <w:tab w:val="left" w:pos="677"/>
        </w:tabs>
        <w:spacing w:after="0" w:line="271" w:lineRule="auto"/>
        <w:ind w:left="660" w:hanging="660"/>
        <w:jc w:val="both"/>
        <w:sectPr w:rsidR="003D5E05" w:rsidSect="00245808">
          <w:footerReference w:type="default" r:id="rId14"/>
          <w:pgSz w:w="11900" w:h="16840"/>
          <w:pgMar w:top="1418" w:right="1486" w:bottom="1276" w:left="1435" w:header="1411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 xml:space="preserve">Smluvní strany prohlašují, že jsou oprávněny k právnímu jednání dle této Smlouvy, že si </w:t>
      </w:r>
      <w:r>
        <w:rPr>
          <w:rStyle w:val="Bodytext1"/>
        </w:rPr>
        <w:t>Smlouvu před jejím podpisem přečetly a jsou seznámeny s jejím obsahem, že byla uzavřena po vzájemné dohodě, podle jejich vážné a svobodné vůle, dobrovolně, určitě a srozumitelně, což stvrzují svými podpisy.</w:t>
      </w:r>
    </w:p>
    <w:p w14:paraId="3D3F55D9" w14:textId="77777777" w:rsidR="003D5E05" w:rsidRDefault="003D5E05">
      <w:pPr>
        <w:spacing w:before="18" w:after="18" w:line="240" w:lineRule="exact"/>
        <w:rPr>
          <w:sz w:val="19"/>
          <w:szCs w:val="19"/>
        </w:rPr>
      </w:pPr>
    </w:p>
    <w:p w14:paraId="41CD3C39" w14:textId="77777777" w:rsidR="003D5E05" w:rsidRDefault="003D5E05">
      <w:pPr>
        <w:spacing w:line="1" w:lineRule="exact"/>
        <w:sectPr w:rsidR="003D5E05">
          <w:type w:val="continuous"/>
          <w:pgSz w:w="11900" w:h="16840"/>
          <w:pgMar w:top="1840" w:right="0" w:bottom="5188" w:left="0" w:header="0" w:footer="3" w:gutter="0"/>
          <w:cols w:space="720"/>
          <w:noEndnote/>
          <w:docGrid w:linePitch="360"/>
        </w:sectPr>
      </w:pPr>
    </w:p>
    <w:p w14:paraId="798C411A" w14:textId="77777777" w:rsidR="003D5E05" w:rsidRDefault="00245808">
      <w:pPr>
        <w:pStyle w:val="Bodytext10"/>
        <w:spacing w:after="0" w:line="240" w:lineRule="auto"/>
      </w:pPr>
      <w:r>
        <w:rPr>
          <w:rStyle w:val="Bodytext1"/>
        </w:rPr>
        <w:t xml:space="preserve">V Praze dne </w:t>
      </w:r>
    </w:p>
    <w:p w14:paraId="14AA7FF4" w14:textId="77777777" w:rsidR="003D5E05" w:rsidRDefault="00245808">
      <w:pPr>
        <w:pStyle w:val="Bodytext10"/>
        <w:spacing w:after="0" w:line="240" w:lineRule="auto"/>
        <w:sectPr w:rsidR="003D5E05">
          <w:type w:val="continuous"/>
          <w:pgSz w:w="11900" w:h="16840"/>
          <w:pgMar w:top="1840" w:right="3589" w:bottom="5188" w:left="1587" w:header="0" w:footer="3" w:gutter="0"/>
          <w:cols w:num="2" w:space="720" w:equalWidth="0">
            <w:col w:w="2304" w:space="1778"/>
            <w:col w:w="2642"/>
          </w:cols>
          <w:noEndnote/>
          <w:docGrid w:linePitch="360"/>
        </w:sectPr>
      </w:pPr>
      <w:r>
        <w:rPr>
          <w:rStyle w:val="Bodytext1"/>
        </w:rPr>
        <w:t xml:space="preserve">V dne </w:t>
      </w:r>
    </w:p>
    <w:p w14:paraId="6BFB70B4" w14:textId="77777777" w:rsidR="003D5E05" w:rsidRDefault="003D5E05">
      <w:pPr>
        <w:spacing w:line="171" w:lineRule="exact"/>
        <w:rPr>
          <w:sz w:val="14"/>
          <w:szCs w:val="14"/>
        </w:rPr>
      </w:pPr>
    </w:p>
    <w:p w14:paraId="281FAB05" w14:textId="77777777" w:rsidR="003D5E05" w:rsidRDefault="003D5E05">
      <w:pPr>
        <w:spacing w:line="1" w:lineRule="exact"/>
        <w:sectPr w:rsidR="003D5E05">
          <w:type w:val="continuous"/>
          <w:pgSz w:w="11900" w:h="16840"/>
          <w:pgMar w:top="1840" w:right="0" w:bottom="5188" w:left="0" w:header="0" w:footer="3" w:gutter="0"/>
          <w:cols w:space="720"/>
          <w:noEndnote/>
          <w:docGrid w:linePitch="360"/>
        </w:sectPr>
      </w:pPr>
    </w:p>
    <w:p w14:paraId="4D3B6CAA" w14:textId="77777777" w:rsidR="00245808" w:rsidRDefault="00245808" w:rsidP="00245808">
      <w:pPr>
        <w:pStyle w:val="Bodytext10"/>
        <w:spacing w:after="60" w:line="240" w:lineRule="auto"/>
        <w:rPr>
          <w:rStyle w:val="Bodytext1"/>
        </w:rPr>
      </w:pPr>
      <w:r>
        <w:rPr>
          <w:rStyle w:val="Bodytext1"/>
        </w:rPr>
        <w:t>Příkazce:</w:t>
      </w:r>
    </w:p>
    <w:p w14:paraId="668D88E1" w14:textId="0F3A5E2C" w:rsidR="003D5E05" w:rsidRPr="00245808" w:rsidRDefault="00245808" w:rsidP="00245808">
      <w:pPr>
        <w:pStyle w:val="Bodytext10"/>
        <w:spacing w:after="60" w:line="240" w:lineRule="auto"/>
        <w:rPr>
          <w:highlight w:val="black"/>
        </w:rPr>
      </w:pPr>
      <w:r w:rsidRPr="00245808">
        <w:rPr>
          <w:rStyle w:val="Bodytext3"/>
          <w:b/>
          <w:bCs/>
          <w:sz w:val="16"/>
          <w:szCs w:val="16"/>
          <w:highlight w:val="black"/>
        </w:rPr>
        <w:t xml:space="preserve">Inn liří </w:t>
      </w:r>
      <w:r w:rsidRPr="00245808">
        <w:rPr>
          <w:rStyle w:val="Bodytext3"/>
          <w:highlight w:val="black"/>
        </w:rPr>
        <w:t xml:space="preserve">Digitálně podepsal </w:t>
      </w:r>
      <w:r w:rsidRPr="00245808">
        <w:rPr>
          <w:rStyle w:val="Bodytext3"/>
          <w:b/>
          <w:bCs/>
          <w:sz w:val="16"/>
          <w:szCs w:val="16"/>
          <w:highlight w:val="black"/>
          <w:vertAlign w:val="superscript"/>
        </w:rPr>
        <w:t>11</w:t>
      </w:r>
      <w:r w:rsidRPr="00245808">
        <w:rPr>
          <w:rStyle w:val="Bodytext3"/>
          <w:b/>
          <w:bCs/>
          <w:sz w:val="16"/>
          <w:szCs w:val="16"/>
          <w:highlight w:val="black"/>
        </w:rPr>
        <w:t xml:space="preserve"> I y • J </w:t>
      </w:r>
      <w:r w:rsidRPr="00245808">
        <w:rPr>
          <w:rStyle w:val="Bodytext3"/>
          <w:rFonts w:ascii="Nirmala UI" w:hAnsi="Nirmala UI" w:cs="Nirmala UI"/>
          <w:b/>
          <w:bCs/>
          <w:sz w:val="16"/>
          <w:szCs w:val="16"/>
          <w:highlight w:val="black"/>
        </w:rPr>
        <w:t>।।</w:t>
      </w:r>
      <w:r w:rsidRPr="00245808">
        <w:rPr>
          <w:rStyle w:val="Bodytext3"/>
          <w:b/>
          <w:bCs/>
          <w:sz w:val="16"/>
          <w:szCs w:val="16"/>
          <w:highlight w:val="black"/>
        </w:rPr>
        <w:t xml:space="preserve"> </w:t>
      </w:r>
      <w:r w:rsidRPr="00245808">
        <w:rPr>
          <w:rStyle w:val="Bodytext3"/>
          <w:highlight w:val="black"/>
        </w:rPr>
        <w:t>Ing. Jiří Kratochvíl</w:t>
      </w:r>
    </w:p>
    <w:p w14:paraId="5EC91334" w14:textId="77777777" w:rsidR="003D5E05" w:rsidRDefault="00245808">
      <w:pPr>
        <w:pStyle w:val="Heading210"/>
        <w:keepNext/>
        <w:keepLines/>
      </w:pPr>
      <w:bookmarkStart w:id="11" w:name="bookmark22"/>
      <w:r w:rsidRPr="00245808">
        <w:rPr>
          <w:rStyle w:val="Heading21"/>
          <w:highlight w:val="black"/>
        </w:rPr>
        <w:t>K</w:t>
      </w:r>
      <w:r w:rsidRPr="00245808">
        <w:rPr>
          <w:rStyle w:val="Heading21"/>
          <w:highlight w:val="black"/>
        </w:rPr>
        <w:t>ratochvíl</w:t>
      </w:r>
      <w:bookmarkEnd w:id="11"/>
    </w:p>
    <w:p w14:paraId="294BA3C9" w14:textId="77777777" w:rsidR="00245808" w:rsidRDefault="00245808">
      <w:pPr>
        <w:pStyle w:val="Bodytext20"/>
        <w:tabs>
          <w:tab w:val="left" w:pos="1770"/>
        </w:tabs>
        <w:rPr>
          <w:rStyle w:val="Bodytext2"/>
          <w:b/>
          <w:bCs/>
        </w:rPr>
      </w:pPr>
    </w:p>
    <w:p w14:paraId="1FECD3DA" w14:textId="380B6C6F" w:rsidR="00245808" w:rsidRDefault="00245808">
      <w:pPr>
        <w:pStyle w:val="Bodytext20"/>
        <w:tabs>
          <w:tab w:val="left" w:pos="1770"/>
        </w:tabs>
        <w:rPr>
          <w:rStyle w:val="Bodytext2"/>
          <w:b/>
          <w:bCs/>
        </w:rPr>
      </w:pPr>
      <w:r w:rsidRPr="00245808">
        <w:rPr>
          <w:rStyle w:val="Bodytext2"/>
          <w:b/>
          <w:bCs/>
          <w:highlight w:val="black"/>
        </w:rPr>
        <w:t>Podepsal Mgr JIH Heá DN: cn=Mgr JiH</w:t>
      </w:r>
      <w:r>
        <w:rPr>
          <w:rStyle w:val="Bodytext2"/>
          <w:b/>
          <w:bCs/>
        </w:rPr>
        <w:t xml:space="preserve"> </w:t>
      </w:r>
    </w:p>
    <w:p w14:paraId="0F7904B1" w14:textId="77777777" w:rsidR="00245808" w:rsidRDefault="00245808">
      <w:pPr>
        <w:pStyle w:val="Bodytext20"/>
        <w:tabs>
          <w:tab w:val="left" w:pos="1770"/>
        </w:tabs>
        <w:rPr>
          <w:rStyle w:val="Bodytext2"/>
          <w:b/>
          <w:bCs/>
        </w:rPr>
      </w:pPr>
    </w:p>
    <w:p w14:paraId="0D603CB0" w14:textId="5B881ACD" w:rsidR="003D5E05" w:rsidRDefault="00245808">
      <w:pPr>
        <w:pStyle w:val="Bodytext20"/>
        <w:tabs>
          <w:tab w:val="left" w:pos="1770"/>
        </w:tabs>
      </w:pPr>
      <w:r w:rsidRPr="00245808">
        <w:rPr>
          <w:rStyle w:val="Bodytext2"/>
          <w:b/>
          <w:bCs/>
          <w:highlight w:val="black"/>
        </w:rPr>
        <w:t xml:space="preserve">Hei. c=CZ, o=lnstítut pro těstovin! a </w:t>
      </w:r>
      <w:r w:rsidRPr="00245808">
        <w:rPr>
          <w:rStyle w:val="Bodytext2"/>
          <w:b/>
          <w:bCs/>
          <w:color w:val="81A5D0"/>
          <w:highlight w:val="black"/>
        </w:rPr>
        <w:t>fTé</w:t>
      </w:r>
      <w:r w:rsidRPr="00245808">
        <w:rPr>
          <w:rStyle w:val="Bodytext2"/>
          <w:b/>
          <w:bCs/>
          <w:color w:val="81A5D0"/>
          <w:highlight w:val="black"/>
        </w:rPr>
        <w:tab/>
      </w:r>
      <w:proofErr w:type="gramStart"/>
      <w:r w:rsidRPr="00245808">
        <w:rPr>
          <w:rStyle w:val="Bodytext2"/>
          <w:b/>
          <w:bCs/>
          <w:highlight w:val="black"/>
        </w:rPr>
        <w:t>certifikaci,a</w:t>
      </w:r>
      <w:proofErr w:type="gramEnd"/>
      <w:r w:rsidRPr="00245808">
        <w:rPr>
          <w:rStyle w:val="Bodytext2"/>
          <w:b/>
          <w:bCs/>
          <w:highlight w:val="black"/>
        </w:rPr>
        <w:t xml:space="preserve"> </w:t>
      </w:r>
      <w:proofErr w:type="gramStart"/>
      <w:r w:rsidRPr="00245808">
        <w:rPr>
          <w:rStyle w:val="Bodytext2"/>
          <w:b/>
          <w:bCs/>
          <w:highlight w:val="black"/>
        </w:rPr>
        <w:t>s .</w:t>
      </w:r>
      <w:proofErr w:type="gramEnd"/>
      <w:r w:rsidRPr="00245808">
        <w:rPr>
          <w:rStyle w:val="Bodytext2"/>
          <w:b/>
          <w:bCs/>
          <w:highlight w:val="black"/>
        </w:rPr>
        <w:t xml:space="preserve"> ou-32«</w:t>
      </w:r>
    </w:p>
    <w:p w14:paraId="0946BCA2" w14:textId="77777777" w:rsidR="00245808" w:rsidRDefault="00245808" w:rsidP="00245808">
      <w:pPr>
        <w:pStyle w:val="Bodytext10"/>
        <w:spacing w:after="220" w:line="240" w:lineRule="auto"/>
      </w:pPr>
      <w:r w:rsidRPr="00245808">
        <w:rPr>
          <w:rStyle w:val="Bodytext2"/>
          <w:highlight w:val="black"/>
        </w:rPr>
        <w:t>email=director@itczlin cz Datum 2025 04</w:t>
      </w:r>
      <w:r>
        <w:rPr>
          <w:rStyle w:val="Bodytext2"/>
        </w:rPr>
        <w:t xml:space="preserve"> </w:t>
      </w:r>
      <w:r>
        <w:rPr>
          <w:rStyle w:val="Bodytext1"/>
        </w:rPr>
        <w:t>Příkazník:</w:t>
      </w:r>
    </w:p>
    <w:p w14:paraId="4004E0D6" w14:textId="79BF3970" w:rsidR="003D5E05" w:rsidRDefault="00245808">
      <w:pPr>
        <w:pStyle w:val="Bodytext20"/>
        <w:ind w:left="1800" w:firstLine="20"/>
        <w:sectPr w:rsidR="003D5E05">
          <w:type w:val="continuous"/>
          <w:pgSz w:w="11900" w:h="16840"/>
          <w:pgMar w:top="1840" w:right="2603" w:bottom="5188" w:left="1695" w:header="0" w:footer="3" w:gutter="0"/>
          <w:cols w:num="2" w:space="812"/>
          <w:noEndnote/>
          <w:docGrid w:linePitch="360"/>
        </w:sectPr>
      </w:pPr>
      <w:r w:rsidRPr="00245808">
        <w:rPr>
          <w:rStyle w:val="Bodytext2"/>
          <w:b/>
          <w:bCs/>
          <w:highlight w:val="black"/>
        </w:rPr>
        <w:t>17 10:03:22 ♦O2W</w:t>
      </w:r>
    </w:p>
    <w:p w14:paraId="163254BA" w14:textId="77777777" w:rsidR="003D5E05" w:rsidRDefault="003D5E05">
      <w:pPr>
        <w:spacing w:line="21" w:lineRule="exact"/>
        <w:rPr>
          <w:sz w:val="2"/>
          <w:szCs w:val="2"/>
        </w:rPr>
      </w:pPr>
    </w:p>
    <w:p w14:paraId="23E91506" w14:textId="77777777" w:rsidR="003D5E05" w:rsidRDefault="003D5E05">
      <w:pPr>
        <w:spacing w:line="1" w:lineRule="exact"/>
        <w:sectPr w:rsidR="003D5E05">
          <w:type w:val="continuous"/>
          <w:pgSz w:w="11900" w:h="16840"/>
          <w:pgMar w:top="1840" w:right="0" w:bottom="1840" w:left="0" w:header="0" w:footer="3" w:gutter="0"/>
          <w:cols w:space="720"/>
          <w:noEndnote/>
          <w:docGrid w:linePitch="360"/>
        </w:sectPr>
      </w:pPr>
    </w:p>
    <w:p w14:paraId="3FD85C86" w14:textId="77777777" w:rsidR="003D5E05" w:rsidRDefault="00245808">
      <w:pPr>
        <w:pStyle w:val="Bodytext10"/>
        <w:spacing w:after="0"/>
      </w:pPr>
      <w:r>
        <w:rPr>
          <w:rStyle w:val="Bodytext1"/>
          <w:b/>
          <w:bCs/>
        </w:rPr>
        <w:t xml:space="preserve">Česká </w:t>
      </w:r>
      <w:proofErr w:type="gramStart"/>
      <w:r>
        <w:rPr>
          <w:rStyle w:val="Bodytext1"/>
          <w:b/>
          <w:bCs/>
        </w:rPr>
        <w:t>republika - Úřad</w:t>
      </w:r>
      <w:proofErr w:type="gramEnd"/>
      <w:r>
        <w:rPr>
          <w:rStyle w:val="Bodytext1"/>
          <w:b/>
          <w:bCs/>
        </w:rPr>
        <w:t xml:space="preserve"> pro </w:t>
      </w:r>
      <w:r>
        <w:rPr>
          <w:rStyle w:val="Bodytext1"/>
          <w:b/>
          <w:bCs/>
        </w:rPr>
        <w:t>technickou normalizaci, metrologii a státní zkušebnictví, organizační složka státu</w:t>
      </w:r>
    </w:p>
    <w:p w14:paraId="6A62563F" w14:textId="0C7BB78D" w:rsidR="003D5E05" w:rsidRDefault="00245808" w:rsidP="00245808">
      <w:pPr>
        <w:pStyle w:val="Bodytext10"/>
        <w:spacing w:after="0" w:line="240" w:lineRule="auto"/>
        <w:ind w:right="-3776" w:firstLine="4111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Institut pro te</w:t>
      </w:r>
      <w:r>
        <w:rPr>
          <w:rStyle w:val="Bodytext1"/>
          <w:b/>
          <w:bCs/>
          <w:sz w:val="22"/>
          <w:szCs w:val="22"/>
        </w:rPr>
        <w:t>estování a certifikaci, a.s.</w:t>
      </w:r>
    </w:p>
    <w:sectPr w:rsidR="003D5E05" w:rsidSect="00245808">
      <w:type w:val="continuous"/>
      <w:pgSz w:w="11900" w:h="16840"/>
      <w:pgMar w:top="1840" w:right="2076" w:bottom="1840" w:left="1687" w:header="0" w:footer="3" w:gutter="0"/>
      <w:cols w:num="2" w:space="41" w:equalWidth="0">
        <w:col w:w="4162" w:space="202"/>
        <w:col w:w="3773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BF97" w14:textId="77777777" w:rsidR="00245808" w:rsidRDefault="00245808">
      <w:r>
        <w:separator/>
      </w:r>
    </w:p>
  </w:endnote>
  <w:endnote w:type="continuationSeparator" w:id="0">
    <w:p w14:paraId="726FD91C" w14:textId="77777777" w:rsidR="00245808" w:rsidRDefault="0024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281" w14:textId="77777777" w:rsidR="003D5E05" w:rsidRDefault="0024580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F1C7066" wp14:editId="3110F80F">
              <wp:simplePos x="0" y="0"/>
              <wp:positionH relativeFrom="page">
                <wp:posOffset>3739515</wp:posOffset>
              </wp:positionH>
              <wp:positionV relativeFrom="page">
                <wp:posOffset>9840595</wp:posOffset>
              </wp:positionV>
              <wp:extent cx="5016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EFF9D" w14:textId="77777777" w:rsidR="003D5E05" w:rsidRDefault="00245808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</w:rPr>
                            <w:t>#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C7066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4.45pt;margin-top:774.85pt;width:3.9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" filled="f" stroked="f">
              <v:textbox style="mso-fit-shape-to-text:t" inset="0,0,0,0">
                <w:txbxContent>
                  <w:p w14:paraId="731EFF9D" w14:textId="77777777" w:rsidR="003D5E05" w:rsidRDefault="00245808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</w:rPr>
                      <w:t>#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C440" w14:textId="77777777" w:rsidR="003D5E05" w:rsidRDefault="003D5E05"/>
  </w:footnote>
  <w:footnote w:type="continuationSeparator" w:id="0">
    <w:p w14:paraId="1474266F" w14:textId="77777777" w:rsidR="003D5E05" w:rsidRDefault="003D5E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FC9"/>
    <w:multiLevelType w:val="multilevel"/>
    <w:tmpl w:val="20301BF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47E70"/>
    <w:multiLevelType w:val="multilevel"/>
    <w:tmpl w:val="A4ACCED0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B24BD1"/>
    <w:multiLevelType w:val="multilevel"/>
    <w:tmpl w:val="D1C05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3A0B0A"/>
    <w:multiLevelType w:val="multilevel"/>
    <w:tmpl w:val="8550CC0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DF013A"/>
    <w:multiLevelType w:val="multilevel"/>
    <w:tmpl w:val="67861DAC"/>
    <w:lvl w:ilvl="0">
      <w:start w:val="3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F31074"/>
    <w:multiLevelType w:val="multilevel"/>
    <w:tmpl w:val="EA348C94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773B1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9319BF"/>
    <w:multiLevelType w:val="multilevel"/>
    <w:tmpl w:val="D7FC85B2"/>
    <w:lvl w:ilvl="0">
      <w:start w:val="8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CE44FA"/>
    <w:multiLevelType w:val="multilevel"/>
    <w:tmpl w:val="C4903A9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8384522">
    <w:abstractNumId w:val="2"/>
  </w:num>
  <w:num w:numId="2" w16cid:durableId="739402168">
    <w:abstractNumId w:val="0"/>
  </w:num>
  <w:num w:numId="3" w16cid:durableId="1952349642">
    <w:abstractNumId w:val="5"/>
  </w:num>
  <w:num w:numId="4" w16cid:durableId="251084314">
    <w:abstractNumId w:val="1"/>
  </w:num>
  <w:num w:numId="5" w16cid:durableId="849612085">
    <w:abstractNumId w:val="4"/>
  </w:num>
  <w:num w:numId="6" w16cid:durableId="386153024">
    <w:abstractNumId w:val="3"/>
  </w:num>
  <w:num w:numId="7" w16cid:durableId="1446534288">
    <w:abstractNumId w:val="7"/>
  </w:num>
  <w:num w:numId="8" w16cid:durableId="132140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5"/>
    <w:rsid w:val="00245808"/>
    <w:rsid w:val="003D5E05"/>
    <w:rsid w:val="00C7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F6BB"/>
  <w15:docId w15:val="{5A1D3F16-46DA-4E4B-8ACE-42D908B1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b/>
      <w:bCs/>
      <w:i w:val="0"/>
      <w:iCs w:val="0"/>
      <w:smallCaps w:val="0"/>
      <w:strike w:val="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31">
    <w:name w:val="Heading #3|1_"/>
    <w:basedOn w:val="Standardnpsmoodstavce"/>
    <w:link w:val="Heading310"/>
    <w:rPr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Bodytext10">
    <w:name w:val="Body text|1"/>
    <w:basedOn w:val="Normln"/>
    <w:link w:val="Bodytext1"/>
    <w:pPr>
      <w:spacing w:after="100" w:line="269" w:lineRule="auto"/>
    </w:pPr>
  </w:style>
  <w:style w:type="paragraph" w:customStyle="1" w:styleId="Heading110">
    <w:name w:val="Heading #1|1"/>
    <w:basedOn w:val="Normln"/>
    <w:link w:val="Heading11"/>
    <w:pPr>
      <w:spacing w:after="720"/>
      <w:jc w:val="center"/>
      <w:outlineLvl w:val="0"/>
    </w:pPr>
    <w:rPr>
      <w:b/>
      <w:bCs/>
      <w:sz w:val="40"/>
      <w:szCs w:val="4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b/>
      <w:bCs/>
    </w:rPr>
  </w:style>
  <w:style w:type="paragraph" w:customStyle="1" w:styleId="Other10">
    <w:name w:val="Other|1"/>
    <w:basedOn w:val="Normln"/>
    <w:link w:val="Other1"/>
    <w:pPr>
      <w:spacing w:after="100" w:line="269" w:lineRule="auto"/>
    </w:pPr>
  </w:style>
  <w:style w:type="paragraph" w:customStyle="1" w:styleId="Heading310">
    <w:name w:val="Heading #3|1"/>
    <w:basedOn w:val="Normln"/>
    <w:link w:val="Heading31"/>
    <w:pPr>
      <w:spacing w:after="220" w:line="269" w:lineRule="auto"/>
      <w:jc w:val="center"/>
      <w:outlineLvl w:val="2"/>
    </w:pPr>
    <w:rPr>
      <w:b/>
      <w:bCs/>
    </w:rPr>
  </w:style>
  <w:style w:type="paragraph" w:customStyle="1" w:styleId="Bodytext30">
    <w:name w:val="Body text|3"/>
    <w:basedOn w:val="Normln"/>
    <w:link w:val="Bodytext3"/>
    <w:pPr>
      <w:spacing w:line="178" w:lineRule="auto"/>
      <w:ind w:left="1080"/>
    </w:pPr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pPr>
      <w:ind w:left="108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Bodytext20">
    <w:name w:val="Body text|2"/>
    <w:basedOn w:val="Normln"/>
    <w:link w:val="Bodytext2"/>
    <w:pPr>
      <w:ind w:left="740" w:firstLine="1080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fnorm.cz" TargetMode="External"/><Relationship Id="rId13" Type="http://schemas.openxmlformats.org/officeDocument/2006/relationships/hyperlink" Target="https://www.nlfnorm.cz/normy/1817/databaze-evropsk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c@itczlin.cz" TargetMode="External"/><Relationship Id="rId12" Type="http://schemas.openxmlformats.org/officeDocument/2006/relationships/hyperlink" Target="http://www.nlfnorm.cz/normv/70/prehled-harmonizovanych-norem-k-cp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mz.cz/urad/information-portal-construction-produc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nmz.cz/urad/informacni-portal-unmz-specializovany-na-pravni-a-technicke-dokumenty-y-oblasti-uvadeni-stavebnich-vyrobku-na-iednotny-evropsky-trh-c2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gpstandard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2387</Words>
  <Characters>14089</Characters>
  <Application>Microsoft Office Word</Application>
  <DocSecurity>0</DocSecurity>
  <Lines>117</Lines>
  <Paragraphs>32</Paragraphs>
  <ScaleCrop>false</ScaleCrop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Kůrková Eva</dc:creator>
  <cp:lastModifiedBy>Eva Kůrková</cp:lastModifiedBy>
  <cp:revision>2</cp:revision>
  <dcterms:created xsi:type="dcterms:W3CDTF">2025-05-07T12:53:00Z</dcterms:created>
  <dcterms:modified xsi:type="dcterms:W3CDTF">2025-05-07T12:53:00Z</dcterms:modified>
</cp:coreProperties>
</file>