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406E" w14:textId="77777777" w:rsidR="006E71FC" w:rsidRDefault="006E71FC" w:rsidP="006E71FC">
      <w:pPr>
        <w:spacing w:after="0"/>
        <w:jc w:val="center"/>
      </w:pPr>
      <w:r>
        <w:rPr>
          <w:rFonts w:ascii="Times New Roman" w:eastAsia="Times New Roman" w:hAnsi="Times New Roman"/>
          <w:b/>
          <w:sz w:val="32"/>
          <w:szCs w:val="32"/>
        </w:rPr>
        <w:t>Kupní smlouva č. KS_NAKL_2025_00242</w:t>
      </w:r>
    </w:p>
    <w:p w14:paraId="751F9738" w14:textId="77777777" w:rsidR="006E71FC" w:rsidRDefault="006E71FC" w:rsidP="006E71FC">
      <w:pPr>
        <w:spacing w:before="120" w:after="0"/>
        <w:jc w:val="center"/>
      </w:pPr>
      <w:r>
        <w:rPr>
          <w:rFonts w:ascii="Times New Roman" w:eastAsia="Times New Roman" w:hAnsi="Times New Roman"/>
          <w:b/>
          <w:sz w:val="20"/>
          <w:szCs w:val="20"/>
        </w:rPr>
        <w:t>uzavřena dle § 2079 a násl. zákona č. 89/2012 Sb., občanského zákoníku, níže uvedeného dne, měsíce a roku mezi těmito smluvními stranami:</w:t>
      </w:r>
    </w:p>
    <w:p w14:paraId="57F948B0" w14:textId="77777777" w:rsidR="006E71FC" w:rsidRDefault="006E71FC" w:rsidP="006E71FC">
      <w:pPr>
        <w:spacing w:before="240" w:after="0"/>
        <w:jc w:val="both"/>
      </w:pPr>
      <w:r>
        <w:rPr>
          <w:rFonts w:ascii="Times New Roman" w:eastAsia="Times New Roman" w:hAnsi="Times New Roman"/>
          <w:b/>
          <w:sz w:val="28"/>
          <w:szCs w:val="28"/>
        </w:rPr>
        <w:t>AGROTEC a.s.</w:t>
      </w:r>
    </w:p>
    <w:tbl>
      <w:tblPr>
        <w:tblStyle w:val="Mkatabulky"/>
        <w:tblW w:w="9604" w:type="dxa"/>
        <w:tblBorders>
          <w:top w:val="nil"/>
          <w:left w:val="nil"/>
          <w:bottom w:val="nil"/>
          <w:right w:val="nil"/>
          <w:insideH w:val="nil"/>
          <w:insideV w:val="nil"/>
        </w:tblBorders>
        <w:tblLook w:val="07E0" w:firstRow="1" w:lastRow="1" w:firstColumn="1" w:lastColumn="1" w:noHBand="1" w:noVBand="1"/>
      </w:tblPr>
      <w:tblGrid>
        <w:gridCol w:w="2050"/>
        <w:gridCol w:w="7554"/>
      </w:tblGrid>
      <w:tr w:rsidR="006E71FC" w14:paraId="38B97BF7" w14:textId="77777777" w:rsidTr="00374547">
        <w:tc>
          <w:tcPr>
            <w:tcW w:w="2050" w:type="dxa"/>
          </w:tcPr>
          <w:p w14:paraId="11665FD5" w14:textId="77777777" w:rsidR="006E71FC" w:rsidRDefault="006E71FC" w:rsidP="00F42C7B">
            <w:pPr>
              <w:pStyle w:val="Bezmezer"/>
            </w:pPr>
            <w:r>
              <w:t>se sídlem:</w:t>
            </w:r>
          </w:p>
        </w:tc>
        <w:tc>
          <w:tcPr>
            <w:tcW w:w="7554" w:type="dxa"/>
          </w:tcPr>
          <w:p w14:paraId="1F772454" w14:textId="77777777" w:rsidR="006E71FC" w:rsidRDefault="006E71FC" w:rsidP="00F42C7B">
            <w:pPr>
              <w:pStyle w:val="Bezmezer"/>
            </w:pPr>
            <w:r>
              <w:t>Brněnská 74, 693 01 Hustopeče</w:t>
            </w:r>
          </w:p>
        </w:tc>
      </w:tr>
      <w:tr w:rsidR="006E71FC" w14:paraId="4AD1D2AB" w14:textId="77777777" w:rsidTr="00374547">
        <w:tc>
          <w:tcPr>
            <w:tcW w:w="2050" w:type="dxa"/>
          </w:tcPr>
          <w:p w14:paraId="3ED57737" w14:textId="77777777" w:rsidR="006E71FC" w:rsidRDefault="006E71FC" w:rsidP="00F42C7B">
            <w:pPr>
              <w:pStyle w:val="Bezmezer"/>
            </w:pPr>
            <w:r>
              <w:t>zastoupená:</w:t>
            </w:r>
          </w:p>
        </w:tc>
        <w:tc>
          <w:tcPr>
            <w:tcW w:w="7554" w:type="dxa"/>
          </w:tcPr>
          <w:p w14:paraId="1E4B5392" w14:textId="7A0E6821" w:rsidR="006E71FC" w:rsidRDefault="006E71FC" w:rsidP="00F42C7B">
            <w:pPr>
              <w:pStyle w:val="Bezmezer"/>
            </w:pPr>
            <w:proofErr w:type="spellStart"/>
            <w:r>
              <w:t>xxxxxxxxxxxxxx</w:t>
            </w:r>
            <w:proofErr w:type="spellEnd"/>
            <w:r w:rsidRPr="001B6313">
              <w:t>, na základě pověření</w:t>
            </w:r>
          </w:p>
        </w:tc>
      </w:tr>
      <w:tr w:rsidR="006E71FC" w14:paraId="2AAA363A" w14:textId="77777777" w:rsidTr="00374547">
        <w:tc>
          <w:tcPr>
            <w:tcW w:w="2050" w:type="dxa"/>
          </w:tcPr>
          <w:p w14:paraId="6E8BC0A9" w14:textId="77777777" w:rsidR="006E71FC" w:rsidRDefault="006E71FC" w:rsidP="00F42C7B">
            <w:pPr>
              <w:pStyle w:val="Bezmezer"/>
            </w:pPr>
            <w:r>
              <w:t>bankovní spojení:</w:t>
            </w:r>
          </w:p>
        </w:tc>
        <w:tc>
          <w:tcPr>
            <w:tcW w:w="7554" w:type="dxa"/>
          </w:tcPr>
          <w:p w14:paraId="026B0BBC" w14:textId="77777777" w:rsidR="006E71FC" w:rsidRDefault="006E71FC" w:rsidP="00F42C7B">
            <w:pPr>
              <w:pStyle w:val="Bezmezer"/>
            </w:pPr>
            <w:r>
              <w:t>číslo účtu CZK: 8010-0403301553/0300</w:t>
            </w:r>
          </w:p>
          <w:p w14:paraId="5FADD3FB" w14:textId="77777777" w:rsidR="006E71FC" w:rsidRDefault="006E71FC" w:rsidP="00F42C7B">
            <w:pPr>
              <w:pStyle w:val="Bezmezer"/>
            </w:pPr>
            <w:r>
              <w:t>číslo účtu EUR: 10604588/6200   IBAN: CZ3362000000000010604588</w:t>
            </w:r>
          </w:p>
        </w:tc>
      </w:tr>
      <w:tr w:rsidR="006E71FC" w14:paraId="01A0AFA6" w14:textId="77777777" w:rsidTr="00374547">
        <w:tc>
          <w:tcPr>
            <w:tcW w:w="2050" w:type="dxa"/>
          </w:tcPr>
          <w:p w14:paraId="5EEF2B15" w14:textId="77777777" w:rsidR="006E71FC" w:rsidRDefault="006E71FC" w:rsidP="00F42C7B">
            <w:pPr>
              <w:pStyle w:val="Bezmezer"/>
            </w:pPr>
            <w:r>
              <w:t>IČ:</w:t>
            </w:r>
          </w:p>
        </w:tc>
        <w:tc>
          <w:tcPr>
            <w:tcW w:w="7554" w:type="dxa"/>
          </w:tcPr>
          <w:p w14:paraId="1854A092" w14:textId="77777777" w:rsidR="006E71FC" w:rsidRDefault="006E71FC" w:rsidP="00F42C7B">
            <w:pPr>
              <w:pStyle w:val="Bezmezer"/>
            </w:pPr>
            <w:r>
              <w:t>00544957</w:t>
            </w:r>
          </w:p>
        </w:tc>
      </w:tr>
      <w:tr w:rsidR="006E71FC" w14:paraId="0DC39081" w14:textId="77777777" w:rsidTr="00374547">
        <w:tc>
          <w:tcPr>
            <w:tcW w:w="2050" w:type="dxa"/>
          </w:tcPr>
          <w:p w14:paraId="0C7F2609" w14:textId="77777777" w:rsidR="006E71FC" w:rsidRDefault="006E71FC" w:rsidP="00F42C7B">
            <w:pPr>
              <w:pStyle w:val="Bezmezer"/>
            </w:pPr>
            <w:r>
              <w:t>DIČ:</w:t>
            </w:r>
          </w:p>
        </w:tc>
        <w:tc>
          <w:tcPr>
            <w:tcW w:w="7554" w:type="dxa"/>
          </w:tcPr>
          <w:p w14:paraId="04E2D9A0" w14:textId="77777777" w:rsidR="006E71FC" w:rsidRDefault="006E71FC" w:rsidP="00F42C7B">
            <w:pPr>
              <w:pStyle w:val="Bezmezer"/>
            </w:pPr>
            <w:r>
              <w:t>CZ00544957</w:t>
            </w:r>
          </w:p>
        </w:tc>
      </w:tr>
    </w:tbl>
    <w:p w14:paraId="228B57A1" w14:textId="77777777" w:rsidR="006E71FC" w:rsidRDefault="006E71FC" w:rsidP="00F42C7B">
      <w:pPr>
        <w:pStyle w:val="Bezmezer"/>
      </w:pPr>
      <w:r>
        <w:t>zapsaná v Obchodním rejstříku vedeném Krajským soudem v Brně oddíl B, vložka 138</w:t>
      </w:r>
    </w:p>
    <w:p w14:paraId="56AD8481" w14:textId="77777777" w:rsidR="006E71FC" w:rsidRDefault="006E71FC" w:rsidP="00F42C7B">
      <w:pPr>
        <w:pStyle w:val="Bezmezer"/>
      </w:pPr>
      <w:r>
        <w:t>dále jen „prodávající“</w:t>
      </w:r>
    </w:p>
    <w:p w14:paraId="59C13638" w14:textId="77777777" w:rsidR="006E71FC" w:rsidRDefault="006E71FC" w:rsidP="006E71FC">
      <w:pPr>
        <w:spacing w:before="120" w:after="120"/>
      </w:pPr>
      <w:r>
        <w:rPr>
          <w:rFonts w:ascii="Times New Roman" w:eastAsia="Times New Roman" w:hAnsi="Times New Roman"/>
          <w:sz w:val="24"/>
          <w:szCs w:val="24"/>
        </w:rPr>
        <w:t>a</w:t>
      </w:r>
    </w:p>
    <w:p w14:paraId="6449F355" w14:textId="77777777" w:rsidR="006E71FC" w:rsidRDefault="006E71FC" w:rsidP="006E71FC">
      <w:pPr>
        <w:spacing w:after="0"/>
      </w:pPr>
      <w:r>
        <w:rPr>
          <w:rFonts w:ascii="Times New Roman" w:eastAsia="Times New Roman" w:hAnsi="Times New Roman"/>
          <w:b/>
          <w:sz w:val="28"/>
          <w:szCs w:val="28"/>
        </w:rPr>
        <w:t>Teplo Rýmařov s.r.o.</w:t>
      </w:r>
    </w:p>
    <w:tbl>
      <w:tblPr>
        <w:tblStyle w:val="Mkatabulky"/>
        <w:tblW w:w="5000" w:type="pct"/>
        <w:tblBorders>
          <w:top w:val="nil"/>
          <w:left w:val="nil"/>
          <w:bottom w:val="nil"/>
          <w:right w:val="nil"/>
          <w:insideH w:val="nil"/>
          <w:insideV w:val="nil"/>
        </w:tblBorders>
        <w:tblLook w:val="07E0" w:firstRow="1" w:lastRow="1" w:firstColumn="1" w:lastColumn="1" w:noHBand="1" w:noVBand="1"/>
      </w:tblPr>
      <w:tblGrid>
        <w:gridCol w:w="2050"/>
        <w:gridCol w:w="7023"/>
      </w:tblGrid>
      <w:tr w:rsidR="006E71FC" w14:paraId="297D0F2D" w14:textId="77777777" w:rsidTr="00374547">
        <w:tc>
          <w:tcPr>
            <w:tcW w:w="2050" w:type="dxa"/>
            <w:vAlign w:val="center"/>
          </w:tcPr>
          <w:p w14:paraId="040900CA" w14:textId="77777777" w:rsidR="006E71FC" w:rsidRDefault="006E71FC" w:rsidP="00F42C7B">
            <w:pPr>
              <w:pStyle w:val="Bezmezer"/>
            </w:pPr>
            <w:r>
              <w:t>sídlo:</w:t>
            </w:r>
          </w:p>
        </w:tc>
        <w:tc>
          <w:tcPr>
            <w:tcW w:w="0" w:type="auto"/>
            <w:vAlign w:val="center"/>
          </w:tcPr>
          <w:p w14:paraId="686FF0FD" w14:textId="77777777" w:rsidR="006E71FC" w:rsidRDefault="006E71FC" w:rsidP="00F42C7B">
            <w:pPr>
              <w:pStyle w:val="Bezmezer"/>
            </w:pPr>
            <w:r>
              <w:t>Okružní 1364/51, 795 01 Rýmařov</w:t>
            </w:r>
          </w:p>
        </w:tc>
      </w:tr>
      <w:tr w:rsidR="006E71FC" w14:paraId="6266A890" w14:textId="77777777" w:rsidTr="00374547">
        <w:tc>
          <w:tcPr>
            <w:tcW w:w="0" w:type="auto"/>
            <w:vAlign w:val="center"/>
          </w:tcPr>
          <w:p w14:paraId="3DBBEF17" w14:textId="77777777" w:rsidR="006E71FC" w:rsidRDefault="006E71FC" w:rsidP="00F42C7B">
            <w:pPr>
              <w:pStyle w:val="Bezmezer"/>
            </w:pPr>
            <w:r>
              <w:t>zastoupená:</w:t>
            </w:r>
          </w:p>
        </w:tc>
        <w:tc>
          <w:tcPr>
            <w:tcW w:w="0" w:type="auto"/>
            <w:vAlign w:val="center"/>
          </w:tcPr>
          <w:p w14:paraId="6DD0129B" w14:textId="77777777" w:rsidR="006E71FC" w:rsidRDefault="006E71FC" w:rsidP="00F42C7B">
            <w:pPr>
              <w:pStyle w:val="Bezmezer"/>
            </w:pPr>
            <w:bookmarkStart w:id="0" w:name="_Hlk197938316"/>
            <w:r>
              <w:t xml:space="preserve">TOMÁŠ KÖHLER </w:t>
            </w:r>
            <w:bookmarkEnd w:id="0"/>
            <w:r>
              <w:t>– Jednatel</w:t>
            </w:r>
          </w:p>
        </w:tc>
      </w:tr>
      <w:tr w:rsidR="006E71FC" w14:paraId="360A624F" w14:textId="77777777" w:rsidTr="00374547">
        <w:tc>
          <w:tcPr>
            <w:tcW w:w="0" w:type="auto"/>
            <w:vAlign w:val="center"/>
          </w:tcPr>
          <w:p w14:paraId="175D77A7" w14:textId="77777777" w:rsidR="006E71FC" w:rsidRDefault="006E71FC" w:rsidP="00F42C7B">
            <w:pPr>
              <w:pStyle w:val="Bezmezer"/>
            </w:pPr>
            <w:r>
              <w:t>IČ:</w:t>
            </w:r>
          </w:p>
        </w:tc>
        <w:tc>
          <w:tcPr>
            <w:tcW w:w="0" w:type="auto"/>
            <w:vAlign w:val="center"/>
          </w:tcPr>
          <w:p w14:paraId="77C40540" w14:textId="77777777" w:rsidR="006E71FC" w:rsidRDefault="006E71FC" w:rsidP="00F42C7B">
            <w:pPr>
              <w:pStyle w:val="Bezmezer"/>
            </w:pPr>
            <w:r>
              <w:t>25387855</w:t>
            </w:r>
          </w:p>
        </w:tc>
      </w:tr>
      <w:tr w:rsidR="006E71FC" w14:paraId="6D6C9F21" w14:textId="77777777" w:rsidTr="00374547">
        <w:tc>
          <w:tcPr>
            <w:tcW w:w="0" w:type="auto"/>
            <w:vAlign w:val="center"/>
          </w:tcPr>
          <w:p w14:paraId="476A467E" w14:textId="77777777" w:rsidR="006E71FC" w:rsidRDefault="006E71FC" w:rsidP="00F42C7B">
            <w:pPr>
              <w:pStyle w:val="Bezmezer"/>
            </w:pPr>
            <w:r>
              <w:t>DIČ:</w:t>
            </w:r>
          </w:p>
        </w:tc>
        <w:tc>
          <w:tcPr>
            <w:tcW w:w="0" w:type="auto"/>
            <w:vAlign w:val="center"/>
          </w:tcPr>
          <w:p w14:paraId="531F28CA" w14:textId="77777777" w:rsidR="006E71FC" w:rsidRDefault="006E71FC" w:rsidP="00F42C7B">
            <w:pPr>
              <w:pStyle w:val="Bezmezer"/>
            </w:pPr>
            <w:r>
              <w:t>CZ25387855</w:t>
            </w:r>
          </w:p>
        </w:tc>
      </w:tr>
      <w:tr w:rsidR="006E71FC" w14:paraId="77BFF1A1" w14:textId="77777777" w:rsidTr="00374547">
        <w:tc>
          <w:tcPr>
            <w:tcW w:w="0" w:type="auto"/>
            <w:vAlign w:val="center"/>
          </w:tcPr>
          <w:p w14:paraId="7B219558" w14:textId="77777777" w:rsidR="006E71FC" w:rsidRDefault="006E71FC" w:rsidP="00F42C7B">
            <w:pPr>
              <w:pStyle w:val="Bezmezer"/>
            </w:pPr>
            <w:r>
              <w:t>registrace:</w:t>
            </w:r>
          </w:p>
        </w:tc>
        <w:tc>
          <w:tcPr>
            <w:tcW w:w="0" w:type="auto"/>
            <w:vAlign w:val="center"/>
          </w:tcPr>
          <w:p w14:paraId="526B4196" w14:textId="77777777" w:rsidR="006E71FC" w:rsidRDefault="006E71FC" w:rsidP="00F42C7B">
            <w:pPr>
              <w:pStyle w:val="Bezmezer"/>
            </w:pPr>
            <w:r>
              <w:t>KSOS – C 17434</w:t>
            </w:r>
          </w:p>
        </w:tc>
      </w:tr>
      <w:tr w:rsidR="006E71FC" w14:paraId="13BD5AD1" w14:textId="77777777" w:rsidTr="00374547">
        <w:tc>
          <w:tcPr>
            <w:tcW w:w="0" w:type="auto"/>
            <w:vAlign w:val="center"/>
          </w:tcPr>
          <w:p w14:paraId="19A59B09" w14:textId="77777777" w:rsidR="006E71FC" w:rsidRDefault="006E71FC" w:rsidP="00F42C7B">
            <w:pPr>
              <w:pStyle w:val="Bezmezer"/>
            </w:pPr>
            <w:r>
              <w:t>číslo účtu:</w:t>
            </w:r>
          </w:p>
        </w:tc>
        <w:tc>
          <w:tcPr>
            <w:tcW w:w="0" w:type="auto"/>
            <w:vAlign w:val="center"/>
          </w:tcPr>
          <w:p w14:paraId="01397154" w14:textId="77777777" w:rsidR="006E71FC" w:rsidRDefault="006E71FC" w:rsidP="00F42C7B">
            <w:pPr>
              <w:pStyle w:val="Bezmezer"/>
            </w:pPr>
            <w:r>
              <w:t>4606771/0100</w:t>
            </w:r>
          </w:p>
        </w:tc>
      </w:tr>
      <w:tr w:rsidR="006E71FC" w14:paraId="6A1D9503" w14:textId="77777777" w:rsidTr="00374547">
        <w:tc>
          <w:tcPr>
            <w:tcW w:w="0" w:type="auto"/>
            <w:vAlign w:val="center"/>
          </w:tcPr>
          <w:p w14:paraId="6251B959" w14:textId="77777777" w:rsidR="006E71FC" w:rsidRDefault="006E71FC" w:rsidP="00F42C7B">
            <w:pPr>
              <w:pStyle w:val="Bezmezer"/>
            </w:pPr>
            <w:r>
              <w:t>kontaktní telefon:</w:t>
            </w:r>
          </w:p>
        </w:tc>
        <w:tc>
          <w:tcPr>
            <w:tcW w:w="0" w:type="auto"/>
            <w:vAlign w:val="center"/>
          </w:tcPr>
          <w:p w14:paraId="7440843A" w14:textId="77777777" w:rsidR="006E71FC" w:rsidRDefault="006E71FC" w:rsidP="00F42C7B">
            <w:pPr>
              <w:pStyle w:val="Bezmezer"/>
            </w:pPr>
          </w:p>
        </w:tc>
      </w:tr>
      <w:tr w:rsidR="006E71FC" w14:paraId="236EFDC0" w14:textId="77777777" w:rsidTr="00374547">
        <w:tc>
          <w:tcPr>
            <w:tcW w:w="0" w:type="auto"/>
            <w:vAlign w:val="center"/>
          </w:tcPr>
          <w:p w14:paraId="0BEA7C52" w14:textId="77777777" w:rsidR="006E71FC" w:rsidRDefault="006E71FC" w:rsidP="00F42C7B">
            <w:pPr>
              <w:pStyle w:val="Bezmezer"/>
            </w:pPr>
            <w:r>
              <w:t>kontaktní email:</w:t>
            </w:r>
          </w:p>
        </w:tc>
        <w:tc>
          <w:tcPr>
            <w:tcW w:w="0" w:type="auto"/>
            <w:vAlign w:val="center"/>
          </w:tcPr>
          <w:p w14:paraId="3DAFFC4D" w14:textId="77777777" w:rsidR="006E71FC" w:rsidRDefault="006E71FC" w:rsidP="00F42C7B">
            <w:pPr>
              <w:pStyle w:val="Bezmezer"/>
            </w:pPr>
          </w:p>
        </w:tc>
      </w:tr>
    </w:tbl>
    <w:p w14:paraId="7409782D" w14:textId="77777777" w:rsidR="006E71FC" w:rsidRDefault="006E71FC" w:rsidP="00F42C7B">
      <w:pPr>
        <w:pStyle w:val="Bezmezer"/>
      </w:pPr>
      <w:r>
        <w:t>dále jen „kupující“</w:t>
      </w:r>
    </w:p>
    <w:p w14:paraId="2A5456DA" w14:textId="77777777" w:rsidR="006E71FC" w:rsidRDefault="006E71FC" w:rsidP="006E71FC">
      <w:pPr>
        <w:spacing w:before="240" w:after="0"/>
        <w:jc w:val="center"/>
      </w:pPr>
      <w:r>
        <w:rPr>
          <w:rFonts w:ascii="Times New Roman" w:eastAsia="Times New Roman" w:hAnsi="Times New Roman"/>
          <w:b/>
          <w:sz w:val="28"/>
          <w:szCs w:val="28"/>
        </w:rPr>
        <w:t>Článek 1</w:t>
      </w:r>
    </w:p>
    <w:p w14:paraId="0094B075" w14:textId="77777777" w:rsidR="006E71FC" w:rsidRDefault="006E71FC" w:rsidP="006E71FC">
      <w:pPr>
        <w:spacing w:after="0"/>
        <w:jc w:val="center"/>
      </w:pPr>
      <w:r>
        <w:rPr>
          <w:rFonts w:ascii="Times New Roman" w:eastAsia="Times New Roman" w:hAnsi="Times New Roman"/>
          <w:b/>
          <w:sz w:val="24"/>
          <w:szCs w:val="24"/>
        </w:rPr>
        <w:t>Předmět smlouvy</w:t>
      </w:r>
    </w:p>
    <w:p w14:paraId="63422203" w14:textId="77777777" w:rsidR="006E71FC" w:rsidRDefault="006E71FC" w:rsidP="006E71FC">
      <w:pPr>
        <w:spacing w:before="60" w:after="60"/>
        <w:jc w:val="both"/>
      </w:pPr>
      <w:r>
        <w:rPr>
          <w:rFonts w:ascii="Times New Roman" w:eastAsia="Times New Roman" w:hAnsi="Times New Roman"/>
        </w:rPr>
        <w:t>Prodávající touto smlouvou prodává níže specifikované silniční vozidlo (dále jen předmět prodeje či zboží) a kupující jej kupuje a zavazuje se jej odebrat a zaplatit dohodnutou kupní cenu.</w:t>
      </w:r>
    </w:p>
    <w:p w14:paraId="7B1FBF0E" w14:textId="77777777" w:rsidR="006E71FC" w:rsidRDefault="006E71FC" w:rsidP="006E71FC">
      <w:pPr>
        <w:spacing w:before="200"/>
      </w:pPr>
      <w:r>
        <w:rPr>
          <w:rFonts w:ascii="Times New Roman" w:eastAsia="Times New Roman" w:hAnsi="Times New Roman"/>
        </w:rPr>
        <w:t>1.1. ​Předmětem prodeje je následující 1 ks vozidla:</w:t>
      </w:r>
    </w:p>
    <w:p w14:paraId="0BF16BF5" w14:textId="77777777" w:rsidR="006E71FC" w:rsidRDefault="006E71FC" w:rsidP="006E71FC">
      <w:pPr>
        <w:spacing w:before="200"/>
      </w:pPr>
      <w:r>
        <w:rPr>
          <w:rFonts w:ascii="Times New Roman" w:eastAsia="Times New Roman" w:hAnsi="Times New Roman"/>
        </w:rPr>
        <w:t xml:space="preserve">Iveco </w:t>
      </w:r>
      <w:proofErr w:type="spellStart"/>
      <w:r>
        <w:rPr>
          <w:rFonts w:ascii="Times New Roman" w:eastAsia="Times New Roman" w:hAnsi="Times New Roman"/>
        </w:rPr>
        <w:t>Daily</w:t>
      </w:r>
      <w:proofErr w:type="spellEnd"/>
      <w:r>
        <w:rPr>
          <w:rFonts w:ascii="Times New Roman" w:eastAsia="Times New Roman" w:hAnsi="Times New Roman"/>
        </w:rPr>
        <w:t xml:space="preserve"> 35S16</w:t>
      </w:r>
    </w:p>
    <w:p w14:paraId="47C750D3" w14:textId="77777777" w:rsidR="006E71FC" w:rsidRDefault="006E71FC" w:rsidP="006E71FC">
      <w:pPr>
        <w:spacing w:before="200"/>
        <w:jc w:val="both"/>
      </w:pPr>
      <w:r>
        <w:rPr>
          <w:rFonts w:ascii="Times New Roman" w:eastAsia="Times New Roman" w:hAnsi="Times New Roman"/>
        </w:rPr>
        <w:t>1.2. Nástavba: Valníková nástavba – MONTEX – MTVAL</w:t>
      </w:r>
    </w:p>
    <w:p w14:paraId="447478AE" w14:textId="77777777" w:rsidR="006E71FC" w:rsidRDefault="006E71FC" w:rsidP="006E71FC">
      <w:pPr>
        <w:spacing w:before="200"/>
        <w:jc w:val="both"/>
      </w:pPr>
      <w:r>
        <w:rPr>
          <w:rFonts w:ascii="Times New Roman" w:eastAsia="Times New Roman" w:hAnsi="Times New Roman"/>
        </w:rPr>
        <w:t>Zhotovitel nástavby: MONTEX spol. s r.o.</w:t>
      </w:r>
    </w:p>
    <w:p w14:paraId="434696BC" w14:textId="77777777" w:rsidR="006E71FC" w:rsidRDefault="006E71FC" w:rsidP="006E71FC">
      <w:pPr>
        <w:spacing w:before="60" w:after="60"/>
        <w:ind w:left="709" w:hanging="709"/>
        <w:jc w:val="both"/>
      </w:pPr>
      <w:r>
        <w:rPr>
          <w:rFonts w:ascii="Times New Roman" w:eastAsia="Times New Roman" w:hAnsi="Times New Roman"/>
        </w:rPr>
        <w:t>Podrobný popis předmětu prodeje je přílohou č. 1 této smlouvy.</w:t>
      </w:r>
    </w:p>
    <w:p w14:paraId="061176E1" w14:textId="77777777" w:rsidR="006E71FC" w:rsidRDefault="006E71FC" w:rsidP="006E71FC">
      <w:pPr>
        <w:spacing w:before="60" w:after="60"/>
        <w:jc w:val="both"/>
      </w:pPr>
      <w:r>
        <w:rPr>
          <w:rFonts w:ascii="Times New Roman" w:eastAsia="Times New Roman" w:hAnsi="Times New Roman"/>
        </w:rPr>
        <w:t>Spolu s předmětem prodeje bude předána příslušná dokumentace:</w:t>
      </w:r>
    </w:p>
    <w:p w14:paraId="670A3B46" w14:textId="77777777" w:rsidR="006E71FC" w:rsidRDefault="006E71FC" w:rsidP="006E71FC">
      <w:pPr>
        <w:spacing w:before="60" w:after="60"/>
        <w:ind w:left="709" w:hanging="1"/>
        <w:jc w:val="both"/>
      </w:pPr>
      <w:r>
        <w:rPr>
          <w:rFonts w:ascii="Times New Roman" w:eastAsia="Times New Roman" w:hAnsi="Times New Roman"/>
        </w:rPr>
        <w:t>- Servisní knížka, technický průkaz, návod k obsluze</w:t>
      </w:r>
    </w:p>
    <w:p w14:paraId="0E90ECB6" w14:textId="77777777" w:rsidR="006E71FC" w:rsidRDefault="006E71FC" w:rsidP="006E71FC">
      <w:pPr>
        <w:spacing w:before="240" w:after="0"/>
        <w:jc w:val="center"/>
      </w:pPr>
      <w:r>
        <w:rPr>
          <w:rFonts w:ascii="Times New Roman" w:eastAsia="Times New Roman" w:hAnsi="Times New Roman"/>
          <w:b/>
          <w:sz w:val="28"/>
          <w:szCs w:val="28"/>
        </w:rPr>
        <w:t>Článek 2</w:t>
      </w:r>
    </w:p>
    <w:p w14:paraId="68D5B464" w14:textId="77777777" w:rsidR="006E71FC" w:rsidRDefault="006E71FC" w:rsidP="006E71FC">
      <w:pPr>
        <w:spacing w:after="0"/>
        <w:jc w:val="center"/>
        <w:rPr>
          <w:rFonts w:ascii="Times New Roman" w:eastAsia="Times New Roman" w:hAnsi="Times New Roman"/>
          <w:b/>
          <w:sz w:val="24"/>
          <w:szCs w:val="24"/>
        </w:rPr>
      </w:pPr>
      <w:r>
        <w:rPr>
          <w:rFonts w:ascii="Times New Roman" w:eastAsia="Times New Roman" w:hAnsi="Times New Roman"/>
          <w:b/>
          <w:sz w:val="24"/>
          <w:szCs w:val="24"/>
        </w:rPr>
        <w:t>Cena zboží</w:t>
      </w:r>
    </w:p>
    <w:p w14:paraId="3233C899" w14:textId="77777777" w:rsidR="00F42C7B" w:rsidRDefault="00F42C7B" w:rsidP="006E71FC">
      <w:pPr>
        <w:spacing w:after="0"/>
        <w:jc w:val="center"/>
        <w:rPr>
          <w:rFonts w:ascii="Times New Roman" w:eastAsia="Times New Roman" w:hAnsi="Times New Roman"/>
          <w:b/>
          <w:sz w:val="24"/>
          <w:szCs w:val="24"/>
        </w:rPr>
      </w:pPr>
    </w:p>
    <w:p w14:paraId="23BFB65E" w14:textId="77777777" w:rsidR="00F42C7B" w:rsidRDefault="00F42C7B" w:rsidP="006E71FC">
      <w:pPr>
        <w:spacing w:after="0"/>
        <w:jc w:val="center"/>
      </w:pPr>
    </w:p>
    <w:p w14:paraId="69765BF5" w14:textId="77777777" w:rsidR="006E71FC" w:rsidRDefault="006E71FC" w:rsidP="006E71FC">
      <w:pPr>
        <w:spacing w:before="60" w:after="60"/>
        <w:jc w:val="both"/>
      </w:pPr>
      <w:r>
        <w:rPr>
          <w:rFonts w:ascii="Times New Roman" w:eastAsia="Times New Roman" w:hAnsi="Times New Roman"/>
        </w:rPr>
        <w:lastRenderedPageBreak/>
        <w:t>2.1. Prodávající dodá předmět prodeje uvedený v Článku 1 této smlouvy kupujícímu za dohodnutou kupní cenu ve výši </w:t>
      </w:r>
      <w:r>
        <w:rPr>
          <w:rFonts w:ascii="Times New Roman" w:eastAsia="Times New Roman" w:hAnsi="Times New Roman"/>
          <w:b/>
        </w:rPr>
        <w:t>908 300,00 Kč bez DPH.</w:t>
      </w:r>
    </w:p>
    <w:p w14:paraId="7CB2BAF7" w14:textId="77777777" w:rsidR="006E71FC" w:rsidRDefault="006E71FC" w:rsidP="006E71FC">
      <w:pPr>
        <w:spacing w:before="200"/>
      </w:pPr>
      <w:r>
        <w:rPr>
          <w:rFonts w:ascii="Times New Roman" w:eastAsia="Times New Roman" w:hAnsi="Times New Roman"/>
        </w:rPr>
        <w:t>2.2. Cena je složena</w:t>
      </w:r>
    </w:p>
    <w:tbl>
      <w:tblPr>
        <w:tblStyle w:val="Mkatabulky"/>
        <w:tblW w:w="5000" w:type="pct"/>
        <w:tblCellSpacing w:w="0" w:type="dxa"/>
        <w:tblBorders>
          <w:top w:val="nil"/>
          <w:left w:val="nil"/>
          <w:bottom w:val="nil"/>
          <w:right w:val="nil"/>
          <w:insideH w:val="nil"/>
          <w:insideV w:val="nil"/>
        </w:tblBorders>
        <w:tblCellMar>
          <w:left w:w="0" w:type="dxa"/>
          <w:right w:w="0" w:type="dxa"/>
        </w:tblCellMar>
        <w:tblLook w:val="07E0" w:firstRow="1" w:lastRow="1" w:firstColumn="1" w:lastColumn="1" w:noHBand="1" w:noVBand="1"/>
      </w:tblPr>
      <w:tblGrid>
        <w:gridCol w:w="5750"/>
        <w:gridCol w:w="2708"/>
        <w:gridCol w:w="615"/>
      </w:tblGrid>
      <w:tr w:rsidR="006E71FC" w14:paraId="52EC217D" w14:textId="77777777" w:rsidTr="00374547">
        <w:trPr>
          <w:tblCellSpacing w:w="0" w:type="dxa"/>
        </w:trPr>
        <w:tc>
          <w:tcPr>
            <w:tcW w:w="0" w:type="auto"/>
          </w:tcPr>
          <w:p w14:paraId="6FBB8452" w14:textId="77777777" w:rsidR="006E71FC" w:rsidRDefault="006E71FC" w:rsidP="00F42C7B">
            <w:pPr>
              <w:pStyle w:val="Bezmezer"/>
            </w:pPr>
            <w:r>
              <w:t>a) smluvní cena podvozku</w:t>
            </w:r>
          </w:p>
        </w:tc>
        <w:tc>
          <w:tcPr>
            <w:tcW w:w="0" w:type="auto"/>
          </w:tcPr>
          <w:p w14:paraId="07D041E4" w14:textId="77777777" w:rsidR="006E71FC" w:rsidRDefault="006E71FC" w:rsidP="00F42C7B">
            <w:pPr>
              <w:pStyle w:val="Bezmezer"/>
            </w:pPr>
            <w:r>
              <w:t>725 000,00</w:t>
            </w:r>
          </w:p>
        </w:tc>
        <w:tc>
          <w:tcPr>
            <w:tcW w:w="0" w:type="auto"/>
          </w:tcPr>
          <w:p w14:paraId="5B7C844B" w14:textId="77777777" w:rsidR="006E71FC" w:rsidRDefault="006E71FC" w:rsidP="00F42C7B">
            <w:pPr>
              <w:pStyle w:val="Bezmezer"/>
            </w:pPr>
            <w:r>
              <w:t>Kč.</w:t>
            </w:r>
          </w:p>
        </w:tc>
      </w:tr>
      <w:tr w:rsidR="006E71FC" w14:paraId="071AC0FE" w14:textId="77777777" w:rsidTr="00374547">
        <w:trPr>
          <w:tblCellSpacing w:w="0" w:type="dxa"/>
        </w:trPr>
        <w:tc>
          <w:tcPr>
            <w:tcW w:w="0" w:type="auto"/>
          </w:tcPr>
          <w:p w14:paraId="47CD95FF" w14:textId="77777777" w:rsidR="006E71FC" w:rsidRDefault="006E71FC" w:rsidP="00F42C7B">
            <w:pPr>
              <w:pStyle w:val="Bezmezer"/>
            </w:pPr>
            <w:r>
              <w:t>b) smluvní cena nástavby</w:t>
            </w:r>
          </w:p>
        </w:tc>
        <w:tc>
          <w:tcPr>
            <w:tcW w:w="0" w:type="auto"/>
          </w:tcPr>
          <w:p w14:paraId="35002C75" w14:textId="77777777" w:rsidR="006E71FC" w:rsidRDefault="006E71FC" w:rsidP="00F42C7B">
            <w:pPr>
              <w:pStyle w:val="Bezmezer"/>
            </w:pPr>
            <w:r>
              <w:t>183 300,00</w:t>
            </w:r>
          </w:p>
        </w:tc>
        <w:tc>
          <w:tcPr>
            <w:tcW w:w="0" w:type="auto"/>
          </w:tcPr>
          <w:p w14:paraId="62B64FA8" w14:textId="77777777" w:rsidR="006E71FC" w:rsidRDefault="006E71FC" w:rsidP="00F42C7B">
            <w:pPr>
              <w:pStyle w:val="Bezmezer"/>
            </w:pPr>
            <w:r>
              <w:t>Kč.</w:t>
            </w:r>
          </w:p>
        </w:tc>
      </w:tr>
      <w:tr w:rsidR="006E71FC" w14:paraId="36FEB2D0" w14:textId="77777777" w:rsidTr="00374547">
        <w:trPr>
          <w:tblCellSpacing w:w="0" w:type="dxa"/>
        </w:trPr>
        <w:tc>
          <w:tcPr>
            <w:tcW w:w="0" w:type="auto"/>
          </w:tcPr>
          <w:p w14:paraId="286A8566" w14:textId="77777777" w:rsidR="006E71FC" w:rsidRDefault="006E71FC" w:rsidP="00F42C7B">
            <w:pPr>
              <w:pStyle w:val="Bezmezer"/>
            </w:pPr>
            <w:r>
              <w:t>c) celková cena bez DPH</w:t>
            </w:r>
          </w:p>
        </w:tc>
        <w:tc>
          <w:tcPr>
            <w:tcW w:w="0" w:type="auto"/>
          </w:tcPr>
          <w:p w14:paraId="198C6B94" w14:textId="77777777" w:rsidR="006E71FC" w:rsidRDefault="006E71FC" w:rsidP="00F42C7B">
            <w:pPr>
              <w:pStyle w:val="Bezmezer"/>
            </w:pPr>
            <w:r>
              <w:t>908 300,00</w:t>
            </w:r>
          </w:p>
        </w:tc>
        <w:tc>
          <w:tcPr>
            <w:tcW w:w="0" w:type="auto"/>
          </w:tcPr>
          <w:p w14:paraId="3B07D838" w14:textId="77777777" w:rsidR="006E71FC" w:rsidRDefault="006E71FC" w:rsidP="00F42C7B">
            <w:pPr>
              <w:pStyle w:val="Bezmezer"/>
            </w:pPr>
            <w:r>
              <w:t>Kč.</w:t>
            </w:r>
          </w:p>
        </w:tc>
      </w:tr>
      <w:tr w:rsidR="006E71FC" w14:paraId="1CAE1877" w14:textId="77777777" w:rsidTr="00374547">
        <w:trPr>
          <w:tblCellSpacing w:w="0" w:type="dxa"/>
        </w:trPr>
        <w:tc>
          <w:tcPr>
            <w:tcW w:w="0" w:type="auto"/>
          </w:tcPr>
          <w:p w14:paraId="641EA090" w14:textId="77777777" w:rsidR="006E71FC" w:rsidRDefault="006E71FC" w:rsidP="00F42C7B">
            <w:pPr>
              <w:pStyle w:val="Bezmezer"/>
            </w:pPr>
            <w:r>
              <w:t>d) daň z přidané hodnoty</w:t>
            </w:r>
          </w:p>
        </w:tc>
        <w:tc>
          <w:tcPr>
            <w:tcW w:w="0" w:type="auto"/>
          </w:tcPr>
          <w:p w14:paraId="0602ADB3" w14:textId="77777777" w:rsidR="006E71FC" w:rsidRDefault="006E71FC" w:rsidP="00F42C7B">
            <w:pPr>
              <w:pStyle w:val="Bezmezer"/>
            </w:pPr>
            <w:r>
              <w:t>190 743,00</w:t>
            </w:r>
          </w:p>
        </w:tc>
        <w:tc>
          <w:tcPr>
            <w:tcW w:w="0" w:type="auto"/>
          </w:tcPr>
          <w:p w14:paraId="2FCE6965" w14:textId="77777777" w:rsidR="006E71FC" w:rsidRDefault="006E71FC" w:rsidP="00F42C7B">
            <w:pPr>
              <w:pStyle w:val="Bezmezer"/>
            </w:pPr>
            <w:r>
              <w:t>Kč.</w:t>
            </w:r>
          </w:p>
        </w:tc>
      </w:tr>
      <w:tr w:rsidR="006E71FC" w14:paraId="2CF59B28" w14:textId="77777777" w:rsidTr="00374547">
        <w:trPr>
          <w:tblCellSpacing w:w="0" w:type="dxa"/>
        </w:trPr>
        <w:tc>
          <w:tcPr>
            <w:tcW w:w="0" w:type="auto"/>
          </w:tcPr>
          <w:p w14:paraId="5DED5FBA" w14:textId="77777777" w:rsidR="006E71FC" w:rsidRDefault="006E71FC" w:rsidP="00F42C7B">
            <w:pPr>
              <w:pStyle w:val="Bezmezer"/>
            </w:pPr>
            <w:r>
              <w:t>e) celková cena včetně DPH</w:t>
            </w:r>
          </w:p>
        </w:tc>
        <w:tc>
          <w:tcPr>
            <w:tcW w:w="0" w:type="auto"/>
          </w:tcPr>
          <w:p w14:paraId="767E3BE2" w14:textId="77777777" w:rsidR="006E71FC" w:rsidRDefault="006E71FC" w:rsidP="00F42C7B">
            <w:pPr>
              <w:pStyle w:val="Bezmezer"/>
            </w:pPr>
            <w:r>
              <w:t>1 099 043,00</w:t>
            </w:r>
          </w:p>
        </w:tc>
        <w:tc>
          <w:tcPr>
            <w:tcW w:w="0" w:type="auto"/>
          </w:tcPr>
          <w:p w14:paraId="63CC3AB8" w14:textId="77777777" w:rsidR="006E71FC" w:rsidRDefault="006E71FC" w:rsidP="00F42C7B">
            <w:pPr>
              <w:pStyle w:val="Bezmezer"/>
            </w:pPr>
            <w:r>
              <w:t>Kč.</w:t>
            </w:r>
          </w:p>
        </w:tc>
      </w:tr>
    </w:tbl>
    <w:p w14:paraId="654E201A" w14:textId="77777777" w:rsidR="006E71FC" w:rsidRDefault="006E71FC" w:rsidP="006E71FC">
      <w:pPr>
        <w:spacing w:before="200"/>
      </w:pPr>
      <w:r>
        <w:rPr>
          <w:rFonts w:ascii="Times New Roman" w:eastAsia="Times New Roman" w:hAnsi="Times New Roman"/>
        </w:rPr>
        <w:t>V případě změny zákonné výše DPH budou položky d) a e) upraveny dle platné zákonné výše ke dni zdanitelného plnění.</w:t>
      </w:r>
    </w:p>
    <w:p w14:paraId="013265BB" w14:textId="77777777" w:rsidR="006E71FC" w:rsidRDefault="006E71FC" w:rsidP="006E71FC">
      <w:pPr>
        <w:spacing w:before="200"/>
        <w:jc w:val="both"/>
      </w:pPr>
      <w:r>
        <w:rPr>
          <w:rFonts w:ascii="Times New Roman" w:eastAsia="Times New Roman" w:hAnsi="Times New Roman"/>
        </w:rPr>
        <w:t>2.3. ​Kupní cena, v případě platby zálohy pak zůstatek kupní ceny po odečtu zálohy, bude kupujícím uhrazena nejpozději při převzetí předmětu prodeje v hotovosti (pokud je doplatek nižší než ekvivalent částky 270 000,00 Kč) nebo bezhotovostním převodem tak, aby úhrada byla prokazatelně k okamžiku předání připsána na účet prodávajícího. Jestliže kupující neuhradí kupní cen do termínu dodání předmětu prodeje, není prodávající povinen mu předmět prodeje předat a nedostává se tak do prodlení s dodáním. Předmět prodeje bude předán až po úplném zaplacení kupní ceny.</w:t>
      </w:r>
    </w:p>
    <w:p w14:paraId="05757A13" w14:textId="77777777" w:rsidR="006E71FC" w:rsidRDefault="006E71FC" w:rsidP="006E71FC">
      <w:pPr>
        <w:spacing w:before="60" w:after="60"/>
        <w:ind w:left="709" w:hanging="709"/>
        <w:jc w:val="both"/>
      </w:pPr>
      <w:r>
        <w:rPr>
          <w:rFonts w:ascii="Times New Roman" w:eastAsia="Times New Roman" w:hAnsi="Times New Roman"/>
        </w:rPr>
        <w:t>Kupní cena bude uhrazena na účet v záhlaví této smlouvy podle měny, která odpovídá kupní ceně.</w:t>
      </w:r>
    </w:p>
    <w:p w14:paraId="06D8D4CB" w14:textId="77777777" w:rsidR="006E71FC" w:rsidRDefault="006E71FC" w:rsidP="006E71FC">
      <w:pPr>
        <w:spacing w:before="200"/>
        <w:jc w:val="both"/>
      </w:pPr>
      <w:r>
        <w:rPr>
          <w:rFonts w:ascii="Times New Roman" w:eastAsia="Times New Roman" w:hAnsi="Times New Roman"/>
        </w:rPr>
        <w:t>V případě úhrady prostřednictvím leasingové společnosti slouží tato smlouva jako vzor pro kupní smlouvu budoucí s leasingovou společností a předpoklad uhrazení kupní ceny bude prokazován potvrzením leasingové společnosti o uzavření smlouvy. Strany sjednaly, že uzavření kupní smlouvy mezi prodávajícím a leasingovou společností je rozvazovací podmínkou této kupní smlouvy. Prodávající má právo odmítnout výběr leasingové společnosti, není-li zajištěna její schopnost uhradit kupní cenu.</w:t>
      </w:r>
    </w:p>
    <w:p w14:paraId="47681CF6" w14:textId="77777777" w:rsidR="006E71FC" w:rsidRDefault="006E71FC" w:rsidP="006E71FC">
      <w:pPr>
        <w:spacing w:before="200"/>
        <w:jc w:val="both"/>
      </w:pPr>
      <w:r>
        <w:rPr>
          <w:rFonts w:ascii="Times New Roman" w:eastAsia="Times New Roman" w:hAnsi="Times New Roman"/>
        </w:rPr>
        <w:t>2.4. ​Prodávající se s kupujícím dohodl na poskytnutí kauce ve výši 50 000,00 Kč, která bude uhrazena kupujícím na účet prodávajícího nejpozději do 10 dnů od podpisu této smlouvy. Kauce slouží jako jistota kryjící náklady prodávajícího spojené s objednáním a dovozem předmětu prodeje u výrobce pro případ odstoupení od smlouvy. Kauce bude kupujícímu vrácena při převzetí předmětu prodeje způsobem, který určí prodávající. V případě odstoupení od kupní smlouvy kupujícím nebo prodávajícím bude kauce po případném provedení zápočtů kupujícímu vrácena nejpozději do 21 dnů ode dne ukončení platnosti této smlouvy.</w:t>
      </w:r>
    </w:p>
    <w:p w14:paraId="002BE032" w14:textId="77777777" w:rsidR="006E71FC" w:rsidRDefault="006E71FC" w:rsidP="006E71FC">
      <w:pPr>
        <w:spacing w:after="0"/>
        <w:jc w:val="both"/>
      </w:pPr>
      <w:r>
        <w:rPr>
          <w:rFonts w:ascii="Times New Roman" w:eastAsia="Times New Roman" w:hAnsi="Times New Roman"/>
        </w:rPr>
        <w:t>Prodávající je oprávněn v případě neuhrazení kauce ani do deseti dnů ode dne dohodnutého výše, písemně jednostranně odstoupit, neboť toto lze považovat za podstatné porušení smluvní povinnosti ze strany kupujícího. </w:t>
      </w:r>
    </w:p>
    <w:p w14:paraId="2E448727" w14:textId="77777777" w:rsidR="006E71FC" w:rsidRDefault="006E71FC" w:rsidP="006E71FC">
      <w:pPr>
        <w:spacing w:before="200"/>
        <w:jc w:val="both"/>
      </w:pPr>
      <w:r>
        <w:rPr>
          <w:rFonts w:ascii="Times New Roman" w:eastAsia="Times New Roman" w:hAnsi="Times New Roman"/>
        </w:rPr>
        <w:t xml:space="preserve">2.5. Strany smlouvy se dále dohodly, že předmět prodeje zůstává až do úplného uhrazení kupní ceny vlastnictvím prodávajícího a kupující není oprávněn převést vlastnické právo předmětu prodeje na třetí osobu ani </w:t>
      </w:r>
      <w:proofErr w:type="gramStart"/>
      <w:r>
        <w:rPr>
          <w:rFonts w:ascii="Times New Roman" w:eastAsia="Times New Roman" w:hAnsi="Times New Roman"/>
        </w:rPr>
        <w:t>jej</w:t>
      </w:r>
      <w:proofErr w:type="gramEnd"/>
      <w:r>
        <w:rPr>
          <w:rFonts w:ascii="Times New Roman" w:eastAsia="Times New Roman" w:hAnsi="Times New Roman"/>
        </w:rPr>
        <w:t xml:space="preserve"> jakkoliv zatížit právem třetí osoby. V případě nedodržení tohoto ustanovení kupujícím, nebo některým z jeho zaměstnanců, uhradí kupující prodávajícímu veškerou z tohoto vzniklou škodu včetně případných nákladů na její vyčíslení. V případě, že se smluvní strany na výši škody nedohodnou, určí prodávající soudního znalce a vybraný soudní znalec určí výši způsobené škody znaleckým posudkem.​</w:t>
      </w:r>
    </w:p>
    <w:p w14:paraId="580B2055" w14:textId="52C4D4DB" w:rsidR="006E71FC" w:rsidRPr="00F42C7B" w:rsidRDefault="006E71FC" w:rsidP="00F42C7B">
      <w:pPr>
        <w:spacing w:before="60" w:after="60"/>
        <w:jc w:val="both"/>
      </w:pPr>
      <w:r>
        <w:rPr>
          <w:rFonts w:ascii="Times New Roman" w:eastAsia="Times New Roman" w:hAnsi="Times New Roman"/>
        </w:rPr>
        <w:t>2.6. Strany sjednaly pro případ prodlení s úhradou kupní ceny či její části úrok z prodlení ve výši 0,05 % z dlužné částky denně</w:t>
      </w:r>
    </w:p>
    <w:p w14:paraId="3DE43E96" w14:textId="77777777" w:rsidR="006E71FC" w:rsidRDefault="006E71FC" w:rsidP="006E71FC">
      <w:pPr>
        <w:spacing w:before="240" w:after="0"/>
        <w:jc w:val="center"/>
      </w:pPr>
      <w:r>
        <w:rPr>
          <w:rFonts w:ascii="Times New Roman" w:eastAsia="Times New Roman" w:hAnsi="Times New Roman"/>
          <w:b/>
          <w:sz w:val="28"/>
          <w:szCs w:val="28"/>
        </w:rPr>
        <w:lastRenderedPageBreak/>
        <w:t>Článek 3</w:t>
      </w:r>
    </w:p>
    <w:p w14:paraId="7841D4EF" w14:textId="77777777" w:rsidR="006E71FC" w:rsidRDefault="006E71FC" w:rsidP="006E71FC">
      <w:pPr>
        <w:spacing w:after="0"/>
        <w:jc w:val="center"/>
      </w:pPr>
      <w:r>
        <w:rPr>
          <w:rFonts w:ascii="Times New Roman" w:eastAsia="Times New Roman" w:hAnsi="Times New Roman"/>
          <w:b/>
          <w:sz w:val="24"/>
          <w:szCs w:val="24"/>
        </w:rPr>
        <w:t>Práva a povinnosti stran smlouvy</w:t>
      </w:r>
    </w:p>
    <w:p w14:paraId="1092C9DE" w14:textId="77777777" w:rsidR="006E71FC" w:rsidRDefault="006E71FC" w:rsidP="006E71FC">
      <w:pPr>
        <w:spacing w:after="160" w:line="259" w:lineRule="auto"/>
        <w:jc w:val="both"/>
      </w:pPr>
      <w:r>
        <w:rPr>
          <w:rFonts w:ascii="Times New Roman" w:eastAsia="Times New Roman" w:hAnsi="Times New Roman"/>
        </w:rPr>
        <w:t xml:space="preserve">3.1. Prodávající se zavazuje dodat předmět prodeje kupujícímu do </w:t>
      </w:r>
      <w:r>
        <w:rPr>
          <w:rFonts w:ascii="Times New Roman" w:eastAsia="Times New Roman" w:hAnsi="Times New Roman"/>
          <w:b/>
        </w:rPr>
        <w:t>04.07.2025</w:t>
      </w:r>
    </w:p>
    <w:p w14:paraId="6A56F2A2" w14:textId="77777777" w:rsidR="006E71FC" w:rsidRDefault="006E71FC" w:rsidP="006E71FC">
      <w:pPr>
        <w:spacing w:after="0"/>
        <w:jc w:val="both"/>
      </w:pPr>
      <w:r>
        <w:rPr>
          <w:rFonts w:ascii="Times New Roman" w:eastAsia="Times New Roman" w:hAnsi="Times New Roman"/>
        </w:rPr>
        <w:t xml:space="preserve">3.2. Prodávající a kupující jsou srozuměni s tím, že termín dodání dle předchozího odstavce je termínem předběžným a může být s ohledem na okolnosti změněn (prodloužen). Tato změna termínu dodání musí být bez zbytečného odkladu kupujícímu oznámena; v případě neoznámení se prodávající dostává do prodlení. </w:t>
      </w:r>
    </w:p>
    <w:p w14:paraId="24A71868" w14:textId="77777777" w:rsidR="006E71FC" w:rsidRDefault="006E71FC" w:rsidP="006E71FC">
      <w:pPr>
        <w:spacing w:before="200"/>
        <w:jc w:val="both"/>
      </w:pPr>
      <w:r>
        <w:rPr>
          <w:rFonts w:ascii="Times New Roman" w:eastAsia="Times New Roman" w:hAnsi="Times New Roman"/>
        </w:rPr>
        <w:t>3.3. Předmět prodeje bude předán u prodávajícího případně v místě jeho organizační složky. Místo a dobu předání je povinen prodávající kupujícímu včas oznámit.</w:t>
      </w:r>
    </w:p>
    <w:p w14:paraId="3960024F" w14:textId="77777777" w:rsidR="006E71FC" w:rsidRDefault="006E71FC" w:rsidP="006E71FC">
      <w:pPr>
        <w:spacing w:before="60" w:after="60"/>
        <w:jc w:val="both"/>
      </w:pPr>
      <w:r>
        <w:rPr>
          <w:rFonts w:ascii="Times New Roman" w:eastAsia="Times New Roman" w:hAnsi="Times New Roman"/>
        </w:rPr>
        <w:t xml:space="preserve">3.4. Kupující je povinen na písemnou výzvu prodávajícího předmět prodeje převzít. Jestliže kupující předmět prodeje neodebere ani na opětovnou výzvu prodávajícího, dostává se do prodlení a přechází na něj nebezpečí vzniku škody na věci. Bude-li kupující v prodlení s převzetím předmětu prodeje po dobu delší než 5 dní, je prodávající oprávněn od této smlouvy jednostranně odstoupit. </w:t>
      </w:r>
    </w:p>
    <w:p w14:paraId="334550D7" w14:textId="77777777" w:rsidR="006E71FC" w:rsidRDefault="006E71FC" w:rsidP="006E71FC">
      <w:pPr>
        <w:spacing w:before="200"/>
        <w:jc w:val="both"/>
      </w:pPr>
      <w:r>
        <w:rPr>
          <w:rFonts w:ascii="Times New Roman" w:eastAsia="Times New Roman" w:hAnsi="Times New Roman"/>
        </w:rPr>
        <w:t>3.5. V případě porušení povinností kupujícím, pro které je prodávající oprávněn od této smlouvy odstoupit, uhradí kupující prodávajícímu smluvní pokutu ve výši 10 % kupní ceny v Kč. Prodávající vystaví kupujícímu na smluvní pokutu daňový doklad.​</w:t>
      </w:r>
    </w:p>
    <w:p w14:paraId="053B0E2B" w14:textId="77777777" w:rsidR="006E71FC" w:rsidRDefault="006E71FC" w:rsidP="006E71FC">
      <w:pPr>
        <w:spacing w:before="200"/>
        <w:jc w:val="both"/>
      </w:pPr>
      <w:r>
        <w:rPr>
          <w:rFonts w:ascii="Times New Roman" w:eastAsia="Times New Roman" w:hAnsi="Times New Roman"/>
        </w:rPr>
        <w:t>Smluvní pokutu uhradí kupující na výzvu prodávajícího. Prodávající je oprávněn provést zápočet kauce se smluvní pokutou, pokud byla sjednána. Smluvní pokuta nekryje náhradu škody a lze ji vymáhat samostatně i současně.</w:t>
      </w:r>
    </w:p>
    <w:p w14:paraId="459B34BA" w14:textId="77777777" w:rsidR="006E71FC" w:rsidRDefault="006E71FC" w:rsidP="006E71FC">
      <w:pPr>
        <w:spacing w:before="60" w:after="60"/>
        <w:jc w:val="both"/>
      </w:pPr>
      <w:r>
        <w:rPr>
          <w:rFonts w:ascii="Times New Roman" w:eastAsia="Times New Roman" w:hAnsi="Times New Roman"/>
        </w:rPr>
        <w:t>3.6. Prodávající je povinen při předání zboží kupujícího kvalifikovaně poučit o způsobu užívání předmětu prodeje tak, jak uvádí výrobce.</w:t>
      </w:r>
    </w:p>
    <w:p w14:paraId="0E9D3FCD" w14:textId="3D4E74C4" w:rsidR="006E71FC" w:rsidRPr="00F42C7B" w:rsidRDefault="006E71FC" w:rsidP="006E71FC">
      <w:pPr>
        <w:spacing w:before="200"/>
        <w:jc w:val="both"/>
        <w:rPr>
          <w:rFonts w:ascii="Times New Roman" w:eastAsia="Times New Roman" w:hAnsi="Times New Roman"/>
        </w:rPr>
      </w:pPr>
      <w:r>
        <w:rPr>
          <w:rFonts w:ascii="Times New Roman" w:eastAsia="Times New Roman" w:hAnsi="Times New Roman"/>
        </w:rPr>
        <w:t>3.7. Kupující je povinen zboží s vynaložením odborné péče prohlédnout v den předání zboží. Případné nároky z vad zboží co do množství, druhu, provedení či jakosti je kupující povinen uplatnit nejpozději následující pracovní den poté, kdy měl vady zjistit při odborně provedené prohlídce.</w:t>
      </w:r>
    </w:p>
    <w:p w14:paraId="41A549DA" w14:textId="77777777" w:rsidR="006E71FC" w:rsidRDefault="006E71FC" w:rsidP="006E71FC">
      <w:pPr>
        <w:spacing w:before="200"/>
        <w:jc w:val="center"/>
      </w:pPr>
      <w:r>
        <w:rPr>
          <w:rFonts w:ascii="Times New Roman" w:eastAsia="Times New Roman" w:hAnsi="Times New Roman"/>
          <w:b/>
          <w:sz w:val="28"/>
          <w:szCs w:val="28"/>
        </w:rPr>
        <w:t>Článek 4</w:t>
      </w:r>
    </w:p>
    <w:p w14:paraId="7D0F1ABD" w14:textId="77777777" w:rsidR="006E71FC" w:rsidRDefault="006E71FC" w:rsidP="006E71FC">
      <w:pPr>
        <w:spacing w:after="0"/>
        <w:jc w:val="center"/>
      </w:pPr>
      <w:r>
        <w:rPr>
          <w:rFonts w:ascii="Times New Roman" w:eastAsia="Times New Roman" w:hAnsi="Times New Roman"/>
          <w:b/>
          <w:sz w:val="24"/>
          <w:szCs w:val="24"/>
        </w:rPr>
        <w:t>Záruční podmínky</w:t>
      </w:r>
    </w:p>
    <w:p w14:paraId="4781D01A" w14:textId="77777777" w:rsidR="006E71FC" w:rsidRDefault="006E71FC" w:rsidP="006E71FC">
      <w:pPr>
        <w:spacing w:before="200"/>
        <w:jc w:val="both"/>
      </w:pPr>
      <w:r>
        <w:rPr>
          <w:rFonts w:ascii="Times New Roman" w:eastAsia="Times New Roman" w:hAnsi="Times New Roman"/>
        </w:rPr>
        <w:t xml:space="preserve">4.1. ​Prodávající poskytuje na nové zboží záruku dle záručních podmínek výrobce v délce </w:t>
      </w:r>
      <w:r>
        <w:rPr>
          <w:rFonts w:ascii="Times New Roman" w:eastAsia="Times New Roman" w:hAnsi="Times New Roman"/>
          <w:b/>
        </w:rPr>
        <w:t>12</w:t>
      </w:r>
      <w:r>
        <w:rPr>
          <w:rFonts w:ascii="Times New Roman" w:eastAsia="Times New Roman" w:hAnsi="Times New Roman"/>
        </w:rPr>
        <w:t xml:space="preserve"> měsíců bez omezení najetých kilometrů. Pokud kupující splní v průběhu prvního roku provozu vozidla podmínky záručních prohlídek a servisu stanovených výrobcem, poskytuje výrobce prodlouženou záruku v délce dalších </w:t>
      </w:r>
      <w:r>
        <w:rPr>
          <w:rFonts w:ascii="Times New Roman" w:eastAsia="Times New Roman" w:hAnsi="Times New Roman"/>
          <w:b/>
        </w:rPr>
        <w:t>12</w:t>
      </w:r>
      <w:r>
        <w:rPr>
          <w:rFonts w:ascii="Times New Roman" w:eastAsia="Times New Roman" w:hAnsi="Times New Roman"/>
        </w:rPr>
        <w:t xml:space="preserve"> měsíců bez omezení celkového počtu najetých km. Je-li součástí vozidla dodatečně namontované neoriginální (výrobcem neschválené) příslušenství, nevztahuje se záruka za jakost poskytnutá prodávajícím na toto příslušenství a ani na vady, které na vozidle vzniknou v souvislosti s tímto příslušenstvím.</w:t>
      </w:r>
    </w:p>
    <w:p w14:paraId="5A1950A2" w14:textId="77777777" w:rsidR="006E71FC" w:rsidRDefault="006E71FC" w:rsidP="006E71FC">
      <w:pPr>
        <w:spacing w:before="200"/>
        <w:jc w:val="both"/>
      </w:pPr>
      <w:r>
        <w:rPr>
          <w:rFonts w:ascii="Times New Roman" w:eastAsia="Times New Roman" w:hAnsi="Times New Roman"/>
        </w:rPr>
        <w:t>4.2. Záruka za nástavbu: Záruční podmínky nástavby, výjimky ze záruky, pravidla údržby, a podmínky trvání záruky jsou uvedeny v záručním prohlášení dodavatele nástavby.​</w:t>
      </w:r>
    </w:p>
    <w:p w14:paraId="183732DE" w14:textId="77777777" w:rsidR="006E71FC" w:rsidRDefault="006E71FC" w:rsidP="006E71FC">
      <w:pPr>
        <w:spacing w:before="200"/>
        <w:jc w:val="both"/>
      </w:pPr>
      <w:r>
        <w:rPr>
          <w:rFonts w:ascii="Times New Roman" w:eastAsia="Times New Roman" w:hAnsi="Times New Roman"/>
        </w:rPr>
        <w:t xml:space="preserve">4.3. Z titulu odpovědnosti za vady zboží může kupující nárokovat v případě vad odstranitelných jejich odstranění opravou, v případě vad neodstranitelných též přiměřenou slevu z ceny zboží. Konkrétní nárok, způsob a přiměřenou lhůtu k odstranění vad volí a určuje prodávající. Kupující je oprávněn provést volbu nároku a způsobu odstranění teprve poté, pokud prodávající neprovede volbu způsobu </w:t>
      </w:r>
      <w:r>
        <w:rPr>
          <w:rFonts w:ascii="Times New Roman" w:eastAsia="Times New Roman" w:hAnsi="Times New Roman"/>
        </w:rPr>
        <w:lastRenderedPageBreak/>
        <w:t>vyřízení nároku ve lhůtě 30 dní od uplatnění odpovědnosti za vady (reklamace), nebo pokud prodávající v určené lhůtě vadu neodstraní. Výše slevy zboží bude určena znaleckým posudkem jako rozdíl mezi hodnotou zboží bez vad a zboží s vadami.</w:t>
      </w:r>
    </w:p>
    <w:p w14:paraId="5F2573AD" w14:textId="6426BDDB" w:rsidR="006E71FC" w:rsidRPr="00F42C7B" w:rsidRDefault="006E71FC" w:rsidP="00F42C7B">
      <w:pPr>
        <w:spacing w:before="200"/>
        <w:jc w:val="both"/>
      </w:pPr>
      <w:r>
        <w:rPr>
          <w:rFonts w:ascii="Times New Roman" w:eastAsia="Times New Roman" w:hAnsi="Times New Roman"/>
        </w:rPr>
        <w:t>4.4. Nárok na odstoupení od smlouvy z důvodu vad na zboží má kupující pouze v případě, že vada zboží je neodstranitelná a prodávající neposkytl výše uvedeným způsobem slevu, nebo nebude prodávajícím v souladu s výše uvedeným postupem odstraněna a tato vada způsobuje nepoužitelnost zboží v souladu s jeho obvyklým způsobem použití.</w:t>
      </w:r>
    </w:p>
    <w:p w14:paraId="3AD38CF0" w14:textId="77777777" w:rsidR="006E71FC" w:rsidRDefault="006E71FC" w:rsidP="006E71FC">
      <w:pPr>
        <w:spacing w:before="200"/>
        <w:jc w:val="center"/>
      </w:pPr>
      <w:r>
        <w:rPr>
          <w:rFonts w:ascii="Times New Roman" w:eastAsia="Times New Roman" w:hAnsi="Times New Roman"/>
          <w:b/>
          <w:sz w:val="28"/>
          <w:szCs w:val="28"/>
        </w:rPr>
        <w:t>Článek 5</w:t>
      </w:r>
    </w:p>
    <w:p w14:paraId="60D2ABE7" w14:textId="77777777" w:rsidR="006E71FC" w:rsidRDefault="006E71FC" w:rsidP="006E71FC">
      <w:pPr>
        <w:spacing w:after="0"/>
        <w:jc w:val="center"/>
      </w:pPr>
      <w:r>
        <w:rPr>
          <w:rFonts w:ascii="Times New Roman" w:eastAsia="Times New Roman" w:hAnsi="Times New Roman"/>
          <w:b/>
          <w:sz w:val="24"/>
          <w:szCs w:val="24"/>
        </w:rPr>
        <w:t>Společná a závěrečná ustanovení</w:t>
      </w:r>
    </w:p>
    <w:p w14:paraId="0D199928" w14:textId="77777777" w:rsidR="006E71FC" w:rsidRDefault="006E71FC" w:rsidP="006E71FC">
      <w:pPr>
        <w:spacing w:before="200"/>
        <w:ind w:left="709" w:hanging="709"/>
        <w:jc w:val="both"/>
      </w:pPr>
      <w:r>
        <w:rPr>
          <w:rFonts w:ascii="Times New Roman" w:eastAsia="Times New Roman" w:hAnsi="Times New Roman"/>
        </w:rPr>
        <w:t>5.1. Smlouva nabývá platnosti dnem podpisu obou smluvních stran.</w:t>
      </w:r>
    </w:p>
    <w:p w14:paraId="2A155E03" w14:textId="77777777" w:rsidR="006E71FC" w:rsidRDefault="006E71FC" w:rsidP="006E71FC">
      <w:pPr>
        <w:spacing w:before="200"/>
        <w:jc w:val="both"/>
      </w:pPr>
      <w:r>
        <w:rPr>
          <w:rFonts w:ascii="Times New Roman" w:eastAsia="Times New Roman" w:hAnsi="Times New Roman"/>
        </w:rPr>
        <w:t>5.2. Tuto smlouvu lze měnit pouze na základě dohody, formou vzestupně číslovaných oboustranně podepsaných dodatků, pod sankcí neplatnosti. Tuto smlouvu není možné vypovědět s výjimkou možnosti odstoupení od smlouvy z důvodů v této smlouvě výslovně uvedených.</w:t>
      </w:r>
    </w:p>
    <w:p w14:paraId="10C461B3" w14:textId="77777777" w:rsidR="006E71FC" w:rsidRDefault="006E71FC" w:rsidP="006E71FC">
      <w:pPr>
        <w:spacing w:before="200"/>
        <w:jc w:val="both"/>
      </w:pPr>
      <w:r>
        <w:rPr>
          <w:rFonts w:ascii="Times New Roman" w:eastAsia="Times New Roman" w:hAnsi="Times New Roman"/>
        </w:rPr>
        <w:t>5.3. Tato smlouva je sepsána ve dvou stejnopisech, z nichž každá ze stran obdrží po jednom. Každý stejnopis má platnost originálu.</w:t>
      </w:r>
    </w:p>
    <w:p w14:paraId="58E4C3E0" w14:textId="77777777" w:rsidR="006E71FC" w:rsidRDefault="006E71FC" w:rsidP="006E71FC">
      <w:pPr>
        <w:spacing w:before="200"/>
        <w:jc w:val="both"/>
      </w:pPr>
      <w:r>
        <w:rPr>
          <w:rFonts w:ascii="Times New Roman" w:eastAsia="Times New Roman" w:hAnsi="Times New Roman"/>
        </w:rPr>
        <w:t>5.4. Smluvní strany se dohodly, že právní úprava smlouvy obsažená v zák. č. 89/2012 Sb., občanském zákoníku, se na právní vztahy vyplývající z této smlouvy vztahuje pouze v případě, pokud tyto nejsou výslovně upraveny. Jestliže se ukáže určité ustanovení smlouvy neplatným nebo neúčinným, nečiní to neplatnou nebo neúčinnou celou smlouvu, ale pouze takové ustanovení. V takovém případě se smluvní strany zavazují neúčinné a neplatné ustanovení nahradit novým ustanovením, které je svým účelem a hospodářským významem co nejbližší ustanovení této smlouvy, jež má být nahrazeno.</w:t>
      </w:r>
    </w:p>
    <w:p w14:paraId="5B3B5CE3" w14:textId="77777777" w:rsidR="006E71FC" w:rsidRDefault="006E71FC" w:rsidP="006E71FC">
      <w:pPr>
        <w:spacing w:before="200"/>
        <w:jc w:val="both"/>
      </w:pPr>
      <w:r>
        <w:rPr>
          <w:rFonts w:ascii="Times New Roman" w:eastAsia="Times New Roman" w:hAnsi="Times New Roman"/>
        </w:rPr>
        <w:t>5.5. Smluvní strany prohlašují, že jim není známo, že by byli úpadci ani dlužníky, vůči nimž je vedeno insolvenční či exekuční řízení. V případě, že nastane taková skutečnost, je taková smluvní strana povinna neprodleně o tom vyrozumět druhou smluvní stranu, která je oprávněna v takovém případě od této smlouvy odstoupit.</w:t>
      </w:r>
    </w:p>
    <w:p w14:paraId="0F675B9E" w14:textId="77777777" w:rsidR="006E71FC" w:rsidRDefault="006E71FC" w:rsidP="006E71FC">
      <w:pPr>
        <w:spacing w:before="200"/>
        <w:jc w:val="both"/>
      </w:pPr>
      <w:r>
        <w:rPr>
          <w:rFonts w:ascii="Times New Roman" w:eastAsia="Times New Roman" w:hAnsi="Times New Roman"/>
        </w:rPr>
        <w:t xml:space="preserve">5.6. Strany se dohodly, že spory vzniklé z této smlouvy budou řešit v prvé řadě smírným jednáním. V případě, že tato cesta nepovede k vyřešení sporu, bude spor řešit obecný soud v České republice dle českého právního řádu. </w:t>
      </w:r>
    </w:p>
    <w:p w14:paraId="0B326623" w14:textId="77777777" w:rsidR="006E71FC" w:rsidRDefault="006E71FC" w:rsidP="006E71FC">
      <w:pPr>
        <w:spacing w:before="200"/>
        <w:jc w:val="both"/>
      </w:pPr>
      <w:r>
        <w:rPr>
          <w:rFonts w:ascii="Times New Roman" w:eastAsia="Times New Roman" w:hAnsi="Times New Roman"/>
        </w:rPr>
        <w:t xml:space="preserve">5.7.  V souladu se zněním § 2898 občanského zákoníku strany omezují právo na náhradu škody způsobené neúmyslně kupujícímu na maximálně deset procent z kupní ceny. </w:t>
      </w:r>
    </w:p>
    <w:p w14:paraId="278506DC" w14:textId="77777777" w:rsidR="006E71FC" w:rsidRDefault="006E71FC" w:rsidP="006E71FC">
      <w:pPr>
        <w:spacing w:before="200"/>
        <w:jc w:val="both"/>
      </w:pPr>
      <w:r>
        <w:rPr>
          <w:rFonts w:ascii="Times New Roman" w:eastAsia="Times New Roman" w:hAnsi="Times New Roman"/>
        </w:rPr>
        <w:t>5.8. Účastníci kupní smlouvy prohlašují po jejím přečtení, že tuto smlouvu sepsali podle svojí vážné a svobodné vůle, souhlasí s ní nikoli v tísni nebo za nápadně nevýhodných podmínek a na důkaz toho opatřují smlouvu vlastnoručními podpisy osob oprávněných k podpisu této smlouvy.</w:t>
      </w:r>
    </w:p>
    <w:p w14:paraId="3564FDF7" w14:textId="77777777" w:rsidR="006E71FC" w:rsidRDefault="006E71FC" w:rsidP="006E71FC">
      <w:pPr>
        <w:spacing w:before="120" w:after="0"/>
        <w:jc w:val="both"/>
      </w:pPr>
      <w:r>
        <w:rPr>
          <w:rFonts w:ascii="Times New Roman" w:eastAsia="Times New Roman" w:hAnsi="Times New Roman"/>
        </w:rPr>
        <w:t>V Olomouci dne 05. 05. 2025</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V Olomouci dne 05. 05. 2025</w:t>
      </w:r>
    </w:p>
    <w:p w14:paraId="5D7F40E9" w14:textId="77777777" w:rsidR="006E71FC" w:rsidRPr="001B6313" w:rsidRDefault="006E71FC" w:rsidP="006E71FC">
      <w:pPr>
        <w:spacing w:before="120" w:after="0"/>
        <w:jc w:val="both"/>
        <w:rPr>
          <w:rFonts w:ascii="Times New Roman" w:eastAsia="Times New Roman" w:hAnsi="Times New Roman"/>
        </w:rPr>
      </w:pPr>
      <w:r w:rsidRPr="001B6313">
        <w:rPr>
          <w:rFonts w:ascii="Times New Roman" w:eastAsia="Times New Roman" w:hAnsi="Times New Roman"/>
        </w:rPr>
        <w:t>________________________</w:t>
      </w:r>
      <w:r w:rsidRPr="001B6313">
        <w:rPr>
          <w:rFonts w:ascii="Times New Roman" w:eastAsia="Times New Roman" w:hAnsi="Times New Roman"/>
        </w:rPr>
        <w:tab/>
      </w:r>
      <w:r w:rsidRPr="001B6313">
        <w:rPr>
          <w:rFonts w:ascii="Times New Roman" w:eastAsia="Times New Roman" w:hAnsi="Times New Roman"/>
        </w:rPr>
        <w:tab/>
      </w:r>
      <w:r w:rsidRPr="001B6313">
        <w:rPr>
          <w:rFonts w:ascii="Times New Roman" w:eastAsia="Times New Roman" w:hAnsi="Times New Roman"/>
        </w:rPr>
        <w:tab/>
        <w:t>___________________________</w:t>
      </w:r>
    </w:p>
    <w:p w14:paraId="75EA14AA" w14:textId="73822214" w:rsidR="006E71FC" w:rsidRDefault="006E71FC" w:rsidP="006E71FC">
      <w:pPr>
        <w:spacing w:after="0" w:line="259" w:lineRule="auto"/>
        <w:rPr>
          <w:rFonts w:ascii="Times New Roman" w:eastAsia="Times New Roman" w:hAnsi="Times New Roman"/>
        </w:rPr>
      </w:pPr>
      <w:r w:rsidRPr="001B6313">
        <w:rPr>
          <w:rFonts w:ascii="Times New Roman" w:eastAsia="Times New Roman" w:hAnsi="Times New Roman"/>
        </w:rPr>
        <w:t>TOMÁŠ KÖHLER</w:t>
      </w:r>
      <w:r w:rsidRPr="001B6313">
        <w:rPr>
          <w:rFonts w:ascii="Times New Roman" w:eastAsia="Times New Roman" w:hAnsi="Times New Roman"/>
        </w:rPr>
        <w:tab/>
      </w:r>
      <w:r w:rsidRPr="001B6313">
        <w:rPr>
          <w:rFonts w:ascii="Times New Roman" w:eastAsia="Times New Roman" w:hAnsi="Times New Roman"/>
        </w:rPr>
        <w:tab/>
      </w:r>
      <w:r w:rsidRPr="001B6313">
        <w:rPr>
          <w:rFonts w:ascii="Times New Roman" w:eastAsia="Times New Roman" w:hAnsi="Times New Roman"/>
        </w:rPr>
        <w:tab/>
      </w:r>
      <w:r w:rsidRPr="001B6313">
        <w:rPr>
          <w:rFonts w:ascii="Times New Roman" w:eastAsia="Times New Roman" w:hAnsi="Times New Roman"/>
        </w:rPr>
        <w:tab/>
      </w:r>
      <w:r>
        <w:rPr>
          <w:rFonts w:ascii="Times New Roman" w:eastAsia="Times New Roman" w:hAnsi="Times New Roman"/>
        </w:rPr>
        <w:t>xxxxxxxxxxxx, na základě pověření</w:t>
      </w:r>
    </w:p>
    <w:p w14:paraId="3027BEC9" w14:textId="77777777" w:rsidR="006E71FC" w:rsidRDefault="006E71FC" w:rsidP="006E71FC">
      <w:pPr>
        <w:spacing w:after="0" w:line="259" w:lineRule="auto"/>
        <w:rPr>
          <w:rFonts w:ascii="Times New Roman" w:eastAsia="Times New Roman" w:hAnsi="Times New Roman"/>
        </w:rPr>
      </w:pPr>
      <w:r>
        <w:rPr>
          <w:rFonts w:ascii="Times New Roman" w:eastAsia="Times New Roman" w:hAnsi="Times New Roman"/>
        </w:rPr>
        <w:t>Jednatel</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AGROTEC a.s.</w:t>
      </w:r>
    </w:p>
    <w:p w14:paraId="7FCEF6C3" w14:textId="77777777" w:rsidR="006E71FC" w:rsidRPr="001B6313" w:rsidRDefault="006E71FC" w:rsidP="006E71FC">
      <w:pPr>
        <w:spacing w:after="0" w:line="259" w:lineRule="auto"/>
        <w:rPr>
          <w:rFonts w:ascii="Times New Roman" w:eastAsia="Times New Roman" w:hAnsi="Times New Roman"/>
        </w:rPr>
      </w:pPr>
      <w:r>
        <w:rPr>
          <w:rFonts w:ascii="Times New Roman" w:eastAsia="Times New Roman" w:hAnsi="Times New Roman"/>
        </w:rPr>
        <w:t>Teplo Rýmařov s.r.o.</w:t>
      </w:r>
    </w:p>
    <w:p w14:paraId="1047639E" w14:textId="77777777" w:rsidR="003B3C4F" w:rsidRDefault="003B3C4F"/>
    <w:sectPr w:rsidR="003B3C4F" w:rsidSect="006E71FC">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FC"/>
    <w:rsid w:val="0008709A"/>
    <w:rsid w:val="000C46C8"/>
    <w:rsid w:val="003B3C4F"/>
    <w:rsid w:val="006E71FC"/>
    <w:rsid w:val="00B33251"/>
    <w:rsid w:val="00F42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3AE0"/>
  <w15:chartTrackingRefBased/>
  <w15:docId w15:val="{1957E424-7DC3-4F91-8652-08F5BCCF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1FC"/>
    <w:pPr>
      <w:spacing w:after="200" w:line="276" w:lineRule="auto"/>
    </w:pPr>
    <w:rPr>
      <w:rFonts w:ascii="Calibri" w:eastAsia="Calibri" w:hAnsi="Calibri" w:cs="Times New Roman"/>
      <w:kern w:val="0"/>
      <w:lang w:eastAsia="cs-CZ"/>
      <w14:ligatures w14:val="none"/>
    </w:rPr>
  </w:style>
  <w:style w:type="paragraph" w:styleId="Nadpis1">
    <w:name w:val="heading 1"/>
    <w:basedOn w:val="Normln"/>
    <w:next w:val="Normln"/>
    <w:link w:val="Nadpis1Char"/>
    <w:uiPriority w:val="9"/>
    <w:qFormat/>
    <w:rsid w:val="006E71F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E71F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E71F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E71FC"/>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6E71FC"/>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6E71FC"/>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6E71FC"/>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6E71FC"/>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6E71FC"/>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71F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E71F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E71F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E71F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E71F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E71F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71F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71F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71FC"/>
    <w:rPr>
      <w:rFonts w:eastAsiaTheme="majorEastAsia" w:cstheme="majorBidi"/>
      <w:color w:val="272727" w:themeColor="text1" w:themeTint="D8"/>
    </w:rPr>
  </w:style>
  <w:style w:type="paragraph" w:styleId="Nzev">
    <w:name w:val="Title"/>
    <w:basedOn w:val="Normln"/>
    <w:next w:val="Normln"/>
    <w:link w:val="NzevChar"/>
    <w:uiPriority w:val="10"/>
    <w:qFormat/>
    <w:rsid w:val="006E71F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E71F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71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6E71F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71FC"/>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6E71FC"/>
    <w:rPr>
      <w:i/>
      <w:iCs/>
      <w:color w:val="404040" w:themeColor="text1" w:themeTint="BF"/>
    </w:rPr>
  </w:style>
  <w:style w:type="paragraph" w:styleId="Odstavecseseznamem">
    <w:name w:val="List Paragraph"/>
    <w:basedOn w:val="Normln"/>
    <w:uiPriority w:val="34"/>
    <w:qFormat/>
    <w:rsid w:val="006E71FC"/>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6E71FC"/>
    <w:rPr>
      <w:i/>
      <w:iCs/>
      <w:color w:val="2F5496" w:themeColor="accent1" w:themeShade="BF"/>
    </w:rPr>
  </w:style>
  <w:style w:type="paragraph" w:styleId="Vrazncitt">
    <w:name w:val="Intense Quote"/>
    <w:basedOn w:val="Normln"/>
    <w:next w:val="Normln"/>
    <w:link w:val="VrazncittChar"/>
    <w:uiPriority w:val="30"/>
    <w:qFormat/>
    <w:rsid w:val="006E71F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6E71FC"/>
    <w:rPr>
      <w:i/>
      <w:iCs/>
      <w:color w:val="2F5496" w:themeColor="accent1" w:themeShade="BF"/>
    </w:rPr>
  </w:style>
  <w:style w:type="character" w:styleId="Odkazintenzivn">
    <w:name w:val="Intense Reference"/>
    <w:basedOn w:val="Standardnpsmoodstavce"/>
    <w:uiPriority w:val="32"/>
    <w:qFormat/>
    <w:rsid w:val="006E71FC"/>
    <w:rPr>
      <w:b/>
      <w:bCs/>
      <w:smallCaps/>
      <w:color w:val="2F5496" w:themeColor="accent1" w:themeShade="BF"/>
      <w:spacing w:val="5"/>
    </w:rPr>
  </w:style>
  <w:style w:type="table" w:styleId="Mkatabulky">
    <w:name w:val="Table Grid"/>
    <w:basedOn w:val="Normlntabulka"/>
    <w:qFormat/>
    <w:rsid w:val="006E71FC"/>
    <w:pPr>
      <w:spacing w:after="0" w:line="240" w:lineRule="auto"/>
    </w:pPr>
    <w:rPr>
      <w:rFonts w:ascii="Calibri" w:eastAsia="Calibri" w:hAnsi="Calibri" w:cs="Times New Roman"/>
      <w:kern w:val="0"/>
      <w:lang w:eastAsia="cs-CZ"/>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uiPriority w:val="1"/>
    <w:qFormat/>
    <w:rsid w:val="00F42C7B"/>
    <w:pPr>
      <w:spacing w:after="0" w:line="240" w:lineRule="auto"/>
    </w:pPr>
    <w:rPr>
      <w:rFonts w:ascii="Calibri" w:eastAsia="Calibri" w:hAnsi="Calibri"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1514</Words>
  <Characters>8938</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Schwarzová</dc:creator>
  <cp:keywords/>
  <dc:description/>
  <cp:lastModifiedBy>Eva Schwarzová</cp:lastModifiedBy>
  <cp:revision>3</cp:revision>
  <dcterms:created xsi:type="dcterms:W3CDTF">2025-05-15T08:57:00Z</dcterms:created>
  <dcterms:modified xsi:type="dcterms:W3CDTF">2025-05-15T09:04:00Z</dcterms:modified>
</cp:coreProperties>
</file>