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E234" w14:textId="5E605C1C" w:rsidR="004D37D5" w:rsidRPr="002B22D1" w:rsidRDefault="00066DAC" w:rsidP="002C1372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2B22D1">
        <w:rPr>
          <w:rFonts w:ascii="Tahoma" w:hAnsi="Tahoma" w:cs="Tahoma"/>
          <w:sz w:val="20"/>
          <w:szCs w:val="20"/>
          <w:u w:val="single"/>
        </w:rPr>
        <w:t>K</w:t>
      </w:r>
      <w:r w:rsidR="004D37D5" w:rsidRPr="002B22D1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0624C21B" w14:textId="77777777" w:rsidR="004D37D5" w:rsidRPr="002B22D1" w:rsidRDefault="004D37D5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2B22D1" w:rsidRDefault="004D37D5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22D1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2B22D1" w:rsidRDefault="00997410" w:rsidP="002772CD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2B22D1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2B22D1" w:rsidRDefault="00997410" w:rsidP="002C1372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2B22D1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2B22D1" w:rsidRDefault="00997410" w:rsidP="002C137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  <w:t>z</w:t>
      </w:r>
      <w:r w:rsidR="004D37D5" w:rsidRPr="002B22D1">
        <w:rPr>
          <w:rFonts w:ascii="Tahoma" w:hAnsi="Tahoma" w:cs="Tahoma"/>
          <w:sz w:val="20"/>
          <w:szCs w:val="20"/>
        </w:rPr>
        <w:t>astoupena:</w:t>
      </w:r>
      <w:r w:rsidR="004D37D5" w:rsidRPr="002B22D1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2B22D1" w:rsidRDefault="004D37D5" w:rsidP="002C1372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  <w:t>ve věcech smluvních:</w:t>
      </w:r>
      <w:r w:rsidRPr="002B22D1">
        <w:rPr>
          <w:rFonts w:ascii="Tahoma" w:hAnsi="Tahoma" w:cs="Tahoma"/>
          <w:sz w:val="20"/>
          <w:szCs w:val="20"/>
        </w:rPr>
        <w:tab/>
      </w:r>
      <w:r w:rsidR="00997410" w:rsidRPr="002B22D1">
        <w:rPr>
          <w:rFonts w:ascii="Tahoma" w:hAnsi="Tahoma" w:cs="Tahoma"/>
          <w:sz w:val="20"/>
          <w:szCs w:val="20"/>
        </w:rPr>
        <w:t xml:space="preserve">MUDr. Ladislavem </w:t>
      </w:r>
      <w:proofErr w:type="spellStart"/>
      <w:r w:rsidR="00997410" w:rsidRPr="002B22D1">
        <w:rPr>
          <w:rFonts w:ascii="Tahoma" w:hAnsi="Tahoma" w:cs="Tahoma"/>
          <w:sz w:val="20"/>
          <w:szCs w:val="20"/>
        </w:rPr>
        <w:t>Václavcem</w:t>
      </w:r>
      <w:proofErr w:type="spellEnd"/>
      <w:r w:rsidRPr="002B22D1">
        <w:rPr>
          <w:rFonts w:ascii="Tahoma" w:hAnsi="Tahoma" w:cs="Tahoma"/>
          <w:sz w:val="20"/>
          <w:szCs w:val="20"/>
        </w:rPr>
        <w:t>, MBA, ředitel</w:t>
      </w:r>
      <w:r w:rsidR="00066DAC" w:rsidRPr="002B22D1">
        <w:rPr>
          <w:rFonts w:ascii="Tahoma" w:hAnsi="Tahoma" w:cs="Tahoma"/>
          <w:sz w:val="20"/>
          <w:szCs w:val="20"/>
        </w:rPr>
        <w:t>em</w:t>
      </w:r>
    </w:p>
    <w:p w14:paraId="3410ED49" w14:textId="6C335987" w:rsidR="004D37D5" w:rsidRPr="002B22D1" w:rsidRDefault="004D37D5" w:rsidP="002C1372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</w:r>
      <w:r w:rsidR="004115E3">
        <w:rPr>
          <w:rFonts w:ascii="Tahoma" w:hAnsi="Tahoma" w:cs="Tahoma"/>
          <w:sz w:val="20"/>
          <w:szCs w:val="20"/>
        </w:rPr>
        <w:t>ve věcech technických:</w:t>
      </w:r>
      <w:r w:rsidR="004115E3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4115E3">
        <w:rPr>
          <w:rFonts w:ascii="Tahoma" w:hAnsi="Tahoma" w:cs="Tahoma"/>
          <w:sz w:val="20"/>
          <w:szCs w:val="20"/>
        </w:rPr>
        <w:t>Xxxxx</w:t>
      </w:r>
      <w:proofErr w:type="spellEnd"/>
      <w:r w:rsidR="00411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115E3">
        <w:rPr>
          <w:rFonts w:ascii="Tahoma" w:hAnsi="Tahoma" w:cs="Tahoma"/>
          <w:sz w:val="20"/>
          <w:szCs w:val="20"/>
        </w:rPr>
        <w:t>xxxxxxxx</w:t>
      </w:r>
      <w:proofErr w:type="spellEnd"/>
      <w:r w:rsidRPr="002B22D1">
        <w:rPr>
          <w:rFonts w:ascii="Tahoma" w:hAnsi="Tahoma" w:cs="Tahoma"/>
          <w:sz w:val="20"/>
          <w:szCs w:val="20"/>
        </w:rPr>
        <w:t>, vedoucí</w:t>
      </w:r>
      <w:r w:rsidR="00066DAC" w:rsidRPr="002B22D1">
        <w:rPr>
          <w:rFonts w:ascii="Tahoma" w:hAnsi="Tahoma" w:cs="Tahoma"/>
          <w:sz w:val="20"/>
          <w:szCs w:val="20"/>
        </w:rPr>
        <w:t>m</w:t>
      </w:r>
      <w:r w:rsidRPr="002B22D1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2B22D1" w:rsidRDefault="004D37D5" w:rsidP="002C137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  <w:t>IČ</w:t>
      </w:r>
      <w:r w:rsidR="008B7CC6" w:rsidRPr="002B22D1">
        <w:rPr>
          <w:rFonts w:ascii="Tahoma" w:hAnsi="Tahoma" w:cs="Tahoma"/>
          <w:sz w:val="20"/>
          <w:szCs w:val="20"/>
        </w:rPr>
        <w:t>O</w:t>
      </w:r>
      <w:r w:rsidRPr="002B22D1">
        <w:rPr>
          <w:rFonts w:ascii="Tahoma" w:hAnsi="Tahoma" w:cs="Tahoma"/>
          <w:sz w:val="20"/>
          <w:szCs w:val="20"/>
        </w:rPr>
        <w:t>:</w:t>
      </w:r>
      <w:r w:rsidRPr="002B22D1">
        <w:rPr>
          <w:rFonts w:ascii="Tahoma" w:hAnsi="Tahoma" w:cs="Tahoma"/>
          <w:sz w:val="20"/>
          <w:szCs w:val="20"/>
        </w:rPr>
        <w:tab/>
      </w:r>
      <w:r w:rsidR="00997410" w:rsidRPr="002B22D1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2B22D1" w:rsidRDefault="004D37D5" w:rsidP="002C137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  <w:t>DIČ:</w:t>
      </w:r>
      <w:r w:rsidRPr="002B22D1">
        <w:rPr>
          <w:rFonts w:ascii="Tahoma" w:hAnsi="Tahoma" w:cs="Tahoma"/>
          <w:sz w:val="20"/>
          <w:szCs w:val="20"/>
        </w:rPr>
        <w:tab/>
      </w:r>
      <w:r w:rsidR="00997410" w:rsidRPr="002B22D1">
        <w:rPr>
          <w:rFonts w:ascii="Tahoma" w:hAnsi="Tahoma" w:cs="Tahoma"/>
          <w:sz w:val="20"/>
          <w:szCs w:val="20"/>
        </w:rPr>
        <w:t>CZ00844641</w:t>
      </w:r>
      <w:r w:rsidRPr="002B22D1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2B22D1" w:rsidRDefault="004D37D5" w:rsidP="002C137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</w:r>
      <w:r w:rsidR="00F71DB5" w:rsidRPr="002B22D1">
        <w:rPr>
          <w:rFonts w:ascii="Tahoma" w:hAnsi="Tahoma" w:cs="Tahoma"/>
          <w:sz w:val="20"/>
          <w:szCs w:val="20"/>
        </w:rPr>
        <w:t>b</w:t>
      </w:r>
      <w:r w:rsidRPr="002B22D1">
        <w:rPr>
          <w:rFonts w:ascii="Tahoma" w:hAnsi="Tahoma" w:cs="Tahoma"/>
          <w:sz w:val="20"/>
          <w:szCs w:val="20"/>
        </w:rPr>
        <w:t xml:space="preserve">ankovní spojení: </w:t>
      </w:r>
      <w:r w:rsidRPr="002B22D1">
        <w:rPr>
          <w:rFonts w:ascii="Tahoma" w:hAnsi="Tahoma" w:cs="Tahoma"/>
          <w:sz w:val="20"/>
          <w:szCs w:val="20"/>
        </w:rPr>
        <w:tab/>
      </w:r>
      <w:r w:rsidR="00997410" w:rsidRPr="002B22D1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497667B9" w:rsidR="004D37D5" w:rsidRPr="002B22D1" w:rsidRDefault="00F71DB5" w:rsidP="002C137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  <w:t>č</w:t>
      </w:r>
      <w:r w:rsidR="004D37D5" w:rsidRPr="002B22D1">
        <w:rPr>
          <w:rFonts w:ascii="Tahoma" w:hAnsi="Tahoma" w:cs="Tahoma"/>
          <w:sz w:val="20"/>
          <w:szCs w:val="20"/>
        </w:rPr>
        <w:t xml:space="preserve">íslo účtu: </w:t>
      </w:r>
      <w:r w:rsidR="004D37D5" w:rsidRPr="002B22D1">
        <w:rPr>
          <w:rFonts w:ascii="Tahoma" w:hAnsi="Tahoma" w:cs="Tahoma"/>
          <w:sz w:val="20"/>
          <w:szCs w:val="20"/>
        </w:rPr>
        <w:tab/>
      </w:r>
      <w:proofErr w:type="spellStart"/>
      <w:r w:rsidR="004115E3">
        <w:rPr>
          <w:rFonts w:ascii="Tahoma" w:hAnsi="Tahoma" w:cs="Tahoma"/>
          <w:color w:val="000000"/>
          <w:sz w:val="20"/>
          <w:szCs w:val="20"/>
        </w:rPr>
        <w:t>xxxxxxx</w:t>
      </w:r>
      <w:proofErr w:type="spellEnd"/>
      <w:r w:rsidR="004115E3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4115E3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2D949B8F" w14:textId="77777777" w:rsidR="004D37D5" w:rsidRPr="002B22D1" w:rsidRDefault="00F71DB5" w:rsidP="002C1372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2B22D1">
        <w:rPr>
          <w:rFonts w:ascii="Tahoma" w:hAnsi="Tahoma" w:cs="Tahoma"/>
          <w:sz w:val="20"/>
          <w:szCs w:val="20"/>
        </w:rPr>
        <w:t>Pr</w:t>
      </w:r>
      <w:proofErr w:type="spellEnd"/>
      <w:r w:rsidRPr="002B22D1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2B22D1" w:rsidRDefault="00F71DB5" w:rsidP="002C1372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2B22D1" w:rsidRDefault="004D37D5" w:rsidP="002C1372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dále jen </w:t>
      </w:r>
      <w:r w:rsidRPr="002B22D1">
        <w:rPr>
          <w:rFonts w:ascii="Tahoma" w:hAnsi="Tahoma" w:cs="Tahoma"/>
          <w:i/>
          <w:iCs/>
          <w:sz w:val="20"/>
          <w:szCs w:val="20"/>
        </w:rPr>
        <w:t>„</w:t>
      </w:r>
      <w:r w:rsidRPr="002B22D1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2B22D1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2B22D1" w:rsidRDefault="004D37D5" w:rsidP="002C1372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a</w:t>
      </w:r>
    </w:p>
    <w:p w14:paraId="70553B09" w14:textId="7BD4209A" w:rsidR="004D37D5" w:rsidRPr="002B22D1" w:rsidRDefault="0089664B" w:rsidP="002772CD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SNT Plus s.r.o.</w:t>
      </w:r>
    </w:p>
    <w:p w14:paraId="10C6BE96" w14:textId="520AAC24" w:rsidR="004D37D5" w:rsidRPr="00604BBC" w:rsidRDefault="004D37D5" w:rsidP="002C137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se sídlem:</w:t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r w:rsidR="0089664B" w:rsidRPr="00604BBC">
        <w:rPr>
          <w:rFonts w:ascii="Tahoma" w:hAnsi="Tahoma" w:cs="Tahoma"/>
          <w:sz w:val="20"/>
          <w:szCs w:val="20"/>
        </w:rPr>
        <w:t>Novodvorská 994/138, 142 00 Praha 4</w:t>
      </w:r>
    </w:p>
    <w:p w14:paraId="338A2CC7" w14:textId="78740CFF" w:rsidR="004D37D5" w:rsidRPr="00604BBC" w:rsidRDefault="004D37D5" w:rsidP="002C137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zastoupen</w:t>
      </w:r>
      <w:r w:rsidR="000C1C02" w:rsidRPr="00604BBC">
        <w:rPr>
          <w:rFonts w:ascii="Tahoma" w:hAnsi="Tahoma" w:cs="Tahoma"/>
          <w:sz w:val="20"/>
          <w:szCs w:val="20"/>
        </w:rPr>
        <w:t>a</w:t>
      </w:r>
      <w:r w:rsidRPr="00604BBC">
        <w:rPr>
          <w:rFonts w:ascii="Tahoma" w:hAnsi="Tahoma" w:cs="Tahoma"/>
          <w:sz w:val="20"/>
          <w:szCs w:val="20"/>
        </w:rPr>
        <w:t>:</w:t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r w:rsidR="0089664B" w:rsidRPr="00604BBC">
        <w:rPr>
          <w:rFonts w:ascii="Tahoma" w:hAnsi="Tahoma" w:cs="Tahoma"/>
          <w:sz w:val="20"/>
          <w:szCs w:val="20"/>
        </w:rPr>
        <w:t>Ing. Ludvíkem Tótem, jednatel</w:t>
      </w:r>
    </w:p>
    <w:p w14:paraId="56E48F2E" w14:textId="507C9FBD" w:rsidR="004D37D5" w:rsidRPr="00604BBC" w:rsidRDefault="004D37D5" w:rsidP="002C137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IČ</w:t>
      </w:r>
      <w:r w:rsidR="008B7CC6" w:rsidRPr="00604BBC">
        <w:rPr>
          <w:rFonts w:ascii="Tahoma" w:hAnsi="Tahoma" w:cs="Tahoma"/>
          <w:sz w:val="20"/>
          <w:szCs w:val="20"/>
        </w:rPr>
        <w:t>O</w:t>
      </w:r>
      <w:r w:rsidRPr="00604BBC">
        <w:rPr>
          <w:rFonts w:ascii="Tahoma" w:hAnsi="Tahoma" w:cs="Tahoma"/>
          <w:sz w:val="20"/>
          <w:szCs w:val="20"/>
        </w:rPr>
        <w:t>:</w:t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r w:rsidR="0089664B" w:rsidRPr="00604BBC">
        <w:rPr>
          <w:rFonts w:ascii="Tahoma" w:hAnsi="Tahoma" w:cs="Tahoma"/>
          <w:sz w:val="20"/>
          <w:szCs w:val="20"/>
        </w:rPr>
        <w:t>25701576</w:t>
      </w:r>
    </w:p>
    <w:p w14:paraId="1955BD17" w14:textId="36075250" w:rsidR="004D37D5" w:rsidRPr="00604BBC" w:rsidRDefault="004D37D5" w:rsidP="002C137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DIČ:</w:t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r w:rsidR="0089664B" w:rsidRPr="00604BBC">
        <w:rPr>
          <w:rFonts w:ascii="Tahoma" w:hAnsi="Tahoma" w:cs="Tahoma"/>
          <w:sz w:val="20"/>
          <w:szCs w:val="20"/>
        </w:rPr>
        <w:t>CZ25701576</w:t>
      </w:r>
    </w:p>
    <w:p w14:paraId="0943EBFB" w14:textId="5CE382A9" w:rsidR="004D37D5" w:rsidRPr="00604BBC" w:rsidRDefault="004D37D5" w:rsidP="002C1372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bankovní spojení:</w:t>
      </w:r>
      <w:r w:rsidRPr="00604BBC">
        <w:rPr>
          <w:rFonts w:ascii="Tahoma" w:hAnsi="Tahoma" w:cs="Tahoma"/>
          <w:sz w:val="20"/>
          <w:szCs w:val="20"/>
        </w:rPr>
        <w:tab/>
      </w:r>
      <w:r w:rsidR="0089664B" w:rsidRPr="00604BBC">
        <w:rPr>
          <w:rFonts w:ascii="Tahoma" w:hAnsi="Tahoma" w:cs="Tahoma"/>
          <w:sz w:val="20"/>
          <w:szCs w:val="20"/>
        </w:rPr>
        <w:t>Raiffeisenbank a.s.</w:t>
      </w:r>
    </w:p>
    <w:p w14:paraId="0DC0C0BF" w14:textId="3F8C9342" w:rsidR="004D37D5" w:rsidRPr="00604BBC" w:rsidRDefault="004D37D5" w:rsidP="002C1372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číslo účtu:</w:t>
      </w:r>
      <w:r w:rsidRPr="00604BBC">
        <w:rPr>
          <w:rFonts w:ascii="Tahoma" w:hAnsi="Tahoma" w:cs="Tahoma"/>
          <w:sz w:val="20"/>
          <w:szCs w:val="20"/>
        </w:rPr>
        <w:tab/>
      </w:r>
      <w:r w:rsidRPr="00604BBC">
        <w:rPr>
          <w:rFonts w:ascii="Tahoma" w:hAnsi="Tahoma" w:cs="Tahoma"/>
          <w:sz w:val="20"/>
          <w:szCs w:val="20"/>
        </w:rPr>
        <w:tab/>
      </w:r>
      <w:proofErr w:type="spellStart"/>
      <w:r w:rsidR="004115E3">
        <w:rPr>
          <w:rFonts w:ascii="Tahoma" w:hAnsi="Tahoma" w:cs="Tahoma"/>
          <w:sz w:val="20"/>
          <w:szCs w:val="20"/>
        </w:rPr>
        <w:t>xxxxxxxxxxxx</w:t>
      </w:r>
      <w:proofErr w:type="spellEnd"/>
      <w:r w:rsidR="004115E3">
        <w:rPr>
          <w:rFonts w:ascii="Tahoma" w:hAnsi="Tahoma" w:cs="Tahoma"/>
          <w:sz w:val="20"/>
          <w:szCs w:val="20"/>
        </w:rPr>
        <w:t>/</w:t>
      </w:r>
      <w:proofErr w:type="spellStart"/>
      <w:r w:rsidR="004115E3">
        <w:rPr>
          <w:rFonts w:ascii="Tahoma" w:hAnsi="Tahoma" w:cs="Tahoma"/>
          <w:sz w:val="20"/>
          <w:szCs w:val="20"/>
        </w:rPr>
        <w:t>xxxx</w:t>
      </w:r>
      <w:proofErr w:type="spellEnd"/>
    </w:p>
    <w:p w14:paraId="36AF1A95" w14:textId="4DDA84C6" w:rsidR="004D37D5" w:rsidRPr="002B22D1" w:rsidRDefault="004D37D5" w:rsidP="002C137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zapsaná v obchodním rejstříku</w:t>
      </w:r>
      <w:r w:rsidR="0089664B" w:rsidRPr="00604BBC">
        <w:rPr>
          <w:rFonts w:ascii="Tahoma" w:hAnsi="Tahoma" w:cs="Tahoma"/>
          <w:sz w:val="20"/>
          <w:szCs w:val="20"/>
        </w:rPr>
        <w:t xml:space="preserve"> u Městského soudu v Praze, odd. C, vložka 62478</w:t>
      </w:r>
    </w:p>
    <w:p w14:paraId="769B8CA2" w14:textId="77777777" w:rsidR="004D37D5" w:rsidRPr="002B22D1" w:rsidRDefault="004D37D5" w:rsidP="002C137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6F2022" w14:textId="77777777" w:rsidR="004D37D5" w:rsidRPr="002B22D1" w:rsidRDefault="004D37D5" w:rsidP="002C1372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B22D1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B22D1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2B22D1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2B22D1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2B04721" w14:textId="77777777" w:rsidR="004D37D5" w:rsidRPr="002B22D1" w:rsidRDefault="004D37D5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5A2F8" w14:textId="77777777" w:rsidR="004D37D5" w:rsidRPr="002B22D1" w:rsidRDefault="004D37D5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2B22D1">
        <w:rPr>
          <w:rFonts w:ascii="Tahoma" w:hAnsi="Tahoma" w:cs="Tahoma"/>
          <w:b/>
          <w:sz w:val="20"/>
          <w:szCs w:val="20"/>
        </w:rPr>
        <w:t>ustanovení</w:t>
      </w:r>
    </w:p>
    <w:p w14:paraId="63ED7F9D" w14:textId="2A843951" w:rsidR="00997410" w:rsidRPr="002B22D1" w:rsidRDefault="00997410" w:rsidP="002C1372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o rozpočtových pravidlech územních rozpočtů, ve znění pozdějších předpisů. </w:t>
      </w:r>
      <w:r w:rsidR="002C1372" w:rsidRPr="00092EFE">
        <w:rPr>
          <w:rFonts w:ascii="Tahoma" w:hAnsi="Tahoma" w:cs="Tahoma"/>
          <w:sz w:val="20"/>
        </w:rPr>
        <w:t>Na základě tohoto zákona nabývá kupující majetek pro svého zřizovatele, kterým je Moravskoslezský kraj, IČO 70890692, se sídlem 28. října 117, 702 18 Ostrava.</w:t>
      </w:r>
    </w:p>
    <w:p w14:paraId="29458E97" w14:textId="77777777" w:rsidR="004D37D5" w:rsidRPr="002B22D1" w:rsidRDefault="004D37D5" w:rsidP="002C1372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7C078D" w14:textId="77777777" w:rsidR="00997410" w:rsidRPr="002B22D1" w:rsidRDefault="00997410" w:rsidP="002C1372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 xml:space="preserve"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</w:t>
      </w:r>
      <w:r w:rsidRPr="002B22D1">
        <w:rPr>
          <w:rFonts w:ascii="Tahoma" w:hAnsi="Tahoma" w:cs="Tahoma"/>
          <w:sz w:val="20"/>
        </w:rPr>
        <w:lastRenderedPageBreak/>
        <w:t>k novému účtu, a to kopií příslušné smlouvy nebo potvrzením peněžního ústavu; nový účet však musí být zveřejněným účtem ve smyslu předchozí věty.</w:t>
      </w:r>
    </w:p>
    <w:p w14:paraId="6D3A9E1C" w14:textId="77777777" w:rsidR="004D37D5" w:rsidRPr="002B22D1" w:rsidRDefault="004D37D5" w:rsidP="002C1372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E97355E" w14:textId="77777777" w:rsidR="00BA14B6" w:rsidRPr="002B22D1" w:rsidRDefault="004D37D5" w:rsidP="002C1372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064F548" w14:textId="088F3A21" w:rsidR="007C6403" w:rsidRPr="002B22D1" w:rsidRDefault="007C6403" w:rsidP="002C137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Předmět smlouvy bude realizován v rámci projektu </w:t>
      </w:r>
      <w:bookmarkStart w:id="0" w:name="_Hlk87951616"/>
      <w:r w:rsidRPr="002B22D1">
        <w:rPr>
          <w:rFonts w:ascii="Tahoma" w:hAnsi="Tahoma" w:cs="Tahoma"/>
          <w:b/>
          <w:bCs/>
          <w:sz w:val="20"/>
          <w:szCs w:val="20"/>
        </w:rPr>
        <w:t>„Zvýšení kvality poskytované následné lůžkové péče včetně přestavby v OLÚ TRN Městě Albrechtice“</w:t>
      </w:r>
      <w:r w:rsidRPr="002B22D1">
        <w:rPr>
          <w:rFonts w:ascii="Tahoma" w:hAnsi="Tahoma" w:cs="Tahoma"/>
          <w:sz w:val="20"/>
          <w:szCs w:val="20"/>
        </w:rPr>
        <w:t>, registrační číslo projektu: CZ.06.04.03/00/22_031/0002562</w:t>
      </w:r>
      <w:bookmarkEnd w:id="0"/>
      <w:r w:rsidRPr="002B22D1">
        <w:rPr>
          <w:rFonts w:ascii="Tahoma" w:hAnsi="Tahoma" w:cs="Tahoma"/>
          <w:sz w:val="20"/>
          <w:szCs w:val="20"/>
        </w:rPr>
        <w:t xml:space="preserve">, v rámci Integrovaného regionálního operačního programu. Prodávající bere na vědomí, že předmětem smlouvy jsou aktivity a výstupy, které budou tvořit součást projektu spolufinancovaného Evropskou unií prostřednictvím IROP. </w:t>
      </w:r>
    </w:p>
    <w:p w14:paraId="7DAEC4F5" w14:textId="72AE30E7" w:rsidR="002B22D1" w:rsidRPr="002B22D1" w:rsidRDefault="002B22D1" w:rsidP="002C137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Smlouva je</w:t>
      </w:r>
      <w:r w:rsidR="00D72925">
        <w:rPr>
          <w:rFonts w:ascii="Tahoma" w:hAnsi="Tahoma" w:cs="Tahoma"/>
          <w:sz w:val="20"/>
          <w:szCs w:val="20"/>
        </w:rPr>
        <w:t xml:space="preserve"> uzavřena na základě výsledků po</w:t>
      </w:r>
      <w:r w:rsidRPr="002B22D1">
        <w:rPr>
          <w:rFonts w:ascii="Tahoma" w:hAnsi="Tahoma" w:cs="Tahoma"/>
          <w:sz w:val="20"/>
          <w:szCs w:val="20"/>
        </w:rPr>
        <w:t>dlimitní veřejné zakázky s názvem „Dodávka přístrojového vybavení pro OLÚ TRN ve Městě Albrechticích“.</w:t>
      </w:r>
    </w:p>
    <w:p w14:paraId="12F1CAF3" w14:textId="77777777" w:rsidR="004D37D5" w:rsidRPr="002B22D1" w:rsidRDefault="004D37D5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388F8" w14:textId="77777777" w:rsidR="004D37D5" w:rsidRPr="002B22D1" w:rsidRDefault="004D37D5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3C51BBE" w14:textId="77777777" w:rsidR="002C1372" w:rsidRPr="002C1372" w:rsidRDefault="007C6403" w:rsidP="002C1372">
      <w:pPr>
        <w:numPr>
          <w:ilvl w:val="0"/>
          <w:numId w:val="3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se zavazuje odevzd</w:t>
      </w:r>
      <w:r w:rsidR="002C1372">
        <w:rPr>
          <w:rFonts w:ascii="Tahoma" w:hAnsi="Tahoma" w:cs="Tahoma"/>
          <w:sz w:val="20"/>
          <w:szCs w:val="20"/>
        </w:rPr>
        <w:t>at kupujícímu předmět smlouvy, kterým je</w:t>
      </w:r>
    </w:p>
    <w:p w14:paraId="28F6747D" w14:textId="5E65F418" w:rsidR="002C1372" w:rsidRPr="002C1372" w:rsidRDefault="00EE6C2D" w:rsidP="002772CD">
      <w:pPr>
        <w:pStyle w:val="Odstavecseseznamem"/>
        <w:numPr>
          <w:ilvl w:val="0"/>
          <w:numId w:val="29"/>
        </w:numPr>
        <w:tabs>
          <w:tab w:val="left" w:pos="360"/>
        </w:tabs>
        <w:spacing w:before="120" w:after="120" w:line="276" w:lineRule="auto"/>
        <w:jc w:val="both"/>
        <w:rPr>
          <w:rFonts w:ascii="Tahoma" w:hAnsi="Tahoma" w:cs="Tahoma"/>
          <w:strike/>
          <w:sz w:val="20"/>
          <w:szCs w:val="20"/>
        </w:rPr>
      </w:pPr>
      <w:r w:rsidRPr="002C1372">
        <w:rPr>
          <w:rFonts w:ascii="Tahoma" w:hAnsi="Tahoma" w:cs="Tahoma"/>
          <w:b/>
          <w:bCs/>
          <w:iCs/>
          <w:sz w:val="20"/>
          <w:szCs w:val="20"/>
        </w:rPr>
        <w:t>Defibrilátor s resuscitačním vozíkem</w:t>
      </w:r>
      <w:r w:rsidRPr="002C13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6403" w:rsidRPr="002C1372">
        <w:rPr>
          <w:rFonts w:ascii="Tahoma" w:hAnsi="Tahoma" w:cs="Tahoma"/>
          <w:b/>
          <w:bCs/>
          <w:sz w:val="20"/>
          <w:szCs w:val="20"/>
        </w:rPr>
        <w:t xml:space="preserve">(1 </w:t>
      </w:r>
      <w:r w:rsidR="00BA14B6" w:rsidRPr="002C1372">
        <w:rPr>
          <w:rFonts w:ascii="Tahoma" w:hAnsi="Tahoma" w:cs="Tahoma"/>
          <w:b/>
          <w:bCs/>
          <w:sz w:val="20"/>
          <w:szCs w:val="20"/>
        </w:rPr>
        <w:t>ks</w:t>
      </w:r>
      <w:r w:rsidR="007C6403" w:rsidRPr="002C1372">
        <w:rPr>
          <w:rFonts w:ascii="Tahoma" w:hAnsi="Tahoma" w:cs="Tahoma"/>
          <w:b/>
          <w:bCs/>
          <w:sz w:val="20"/>
          <w:szCs w:val="20"/>
        </w:rPr>
        <w:t>)</w:t>
      </w:r>
      <w:r w:rsidR="002C1372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96AD4" w:rsidRPr="00604BBC">
        <w:rPr>
          <w:rFonts w:ascii="Tahoma" w:hAnsi="Tahoma" w:cs="Tahoma"/>
          <w:sz w:val="20"/>
          <w:szCs w:val="20"/>
        </w:rPr>
        <w:t>Efficia</w:t>
      </w:r>
      <w:proofErr w:type="spellEnd"/>
      <w:r w:rsidR="00196AD4" w:rsidRPr="00604BBC">
        <w:rPr>
          <w:rFonts w:ascii="Tahoma" w:hAnsi="Tahoma" w:cs="Tahoma"/>
          <w:sz w:val="20"/>
          <w:szCs w:val="20"/>
        </w:rPr>
        <w:t xml:space="preserve"> DFM100</w:t>
      </w:r>
      <w:r w:rsidR="002C1372" w:rsidRPr="000C1C02">
        <w:rPr>
          <w:rFonts w:ascii="Tahoma" w:hAnsi="Tahoma" w:cs="Tahoma"/>
          <w:sz w:val="20"/>
          <w:szCs w:val="20"/>
        </w:rPr>
        <w:t>,</w:t>
      </w:r>
      <w:r w:rsidR="007C6403" w:rsidRPr="002C1372">
        <w:rPr>
          <w:rFonts w:ascii="Tahoma" w:hAnsi="Tahoma" w:cs="Tahoma"/>
          <w:b/>
          <w:sz w:val="20"/>
          <w:szCs w:val="20"/>
        </w:rPr>
        <w:t xml:space="preserve"> </w:t>
      </w:r>
    </w:p>
    <w:p w14:paraId="4848D916" w14:textId="77777777" w:rsidR="002C1372" w:rsidRPr="004163A2" w:rsidRDefault="002C1372" w:rsidP="002C1372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Pr="00DA58A7">
        <w:rPr>
          <w:rFonts w:ascii="Tahoma" w:hAnsi="Tahoma" w:cs="Tahoma"/>
          <w:bCs/>
          <w:sz w:val="20"/>
          <w:szCs w:val="20"/>
        </w:rPr>
        <w:t>včetně příslušenství</w:t>
      </w:r>
      <w:r>
        <w:rPr>
          <w:rFonts w:ascii="Tahoma" w:hAnsi="Tahoma" w:cs="Tahoma"/>
          <w:bCs/>
          <w:sz w:val="20"/>
          <w:szCs w:val="20"/>
        </w:rPr>
        <w:t>, dle specifikace uvedené v Příloze č. 1 této smlouvy</w:t>
      </w:r>
      <w:r w:rsidRPr="00DA58A7">
        <w:rPr>
          <w:rFonts w:ascii="Tahoma" w:hAnsi="Tahoma" w:cs="Tahoma"/>
          <w:bCs/>
          <w:sz w:val="20"/>
          <w:szCs w:val="20"/>
        </w:rPr>
        <w:t xml:space="preserve">, </w:t>
      </w:r>
      <w:r w:rsidRPr="00DA58A7">
        <w:rPr>
          <w:rFonts w:ascii="Tahoma" w:hAnsi="Tahoma" w:cs="Tahoma"/>
          <w:sz w:val="20"/>
          <w:szCs w:val="20"/>
        </w:rPr>
        <w:t>a to včetně návodů k použití v českém jazyce (dále jen „</w:t>
      </w:r>
      <w:r w:rsidRPr="00DA58A7">
        <w:rPr>
          <w:rFonts w:ascii="Tahoma" w:hAnsi="Tahoma" w:cs="Tahoma"/>
          <w:b/>
          <w:bCs/>
          <w:sz w:val="20"/>
          <w:szCs w:val="20"/>
        </w:rPr>
        <w:t>předmět smlouvy</w:t>
      </w:r>
      <w:r w:rsidRPr="00DA58A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) a </w:t>
      </w:r>
      <w:r w:rsidRPr="00DA58A7">
        <w:rPr>
          <w:rFonts w:ascii="Tahoma" w:hAnsi="Tahoma" w:cs="Tahoma"/>
          <w:sz w:val="20"/>
          <w:szCs w:val="20"/>
        </w:rPr>
        <w:t>umožnit kupujícímu nabýt vlastnické právo k předmětu smlouvy.  Kupující se zavazuje předmět smlouvy převzít</w:t>
      </w:r>
      <w:r>
        <w:rPr>
          <w:rFonts w:ascii="Tahoma" w:hAnsi="Tahoma" w:cs="Tahoma"/>
          <w:sz w:val="20"/>
          <w:szCs w:val="20"/>
        </w:rPr>
        <w:t xml:space="preserve"> na základě protokolu o předání a převzetí předmětu smlouvy </w:t>
      </w:r>
      <w:r w:rsidRPr="00DA58A7">
        <w:rPr>
          <w:rFonts w:ascii="Tahoma" w:hAnsi="Tahoma" w:cs="Tahoma"/>
          <w:sz w:val="20"/>
          <w:szCs w:val="20"/>
        </w:rPr>
        <w:t xml:space="preserve">a zaplatit za něj prodávajícímu kupní cenu dle čl. IV této smlouvy. </w:t>
      </w:r>
    </w:p>
    <w:p w14:paraId="2DBD0F4A" w14:textId="1DC30FF4" w:rsidR="002C1372" w:rsidRPr="00873C9E" w:rsidRDefault="002C1372" w:rsidP="002C1372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3C9E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5343A61F" w14:textId="42097EFF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548E1B4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Kupní cena</w:t>
      </w:r>
    </w:p>
    <w:p w14:paraId="3807AC8E" w14:textId="267B0788" w:rsidR="00BA14B6" w:rsidRPr="002B22D1" w:rsidRDefault="00BA14B6" w:rsidP="002772CD">
      <w:pPr>
        <w:pStyle w:val="Styl-normln-slo-odsazen"/>
        <w:numPr>
          <w:ilvl w:val="0"/>
          <w:numId w:val="26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61"/>
        <w:gridCol w:w="2598"/>
      </w:tblGrid>
      <w:tr w:rsidR="0051040D" w:rsidRPr="002B22D1" w14:paraId="631FC809" w14:textId="77777777" w:rsidTr="002C1372">
        <w:trPr>
          <w:trHeight w:hRule="exact" w:val="586"/>
          <w:jc w:val="center"/>
        </w:trPr>
        <w:tc>
          <w:tcPr>
            <w:tcW w:w="3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9641CE" w14:textId="77777777" w:rsidR="0051040D" w:rsidRPr="002B22D1" w:rsidRDefault="0051040D" w:rsidP="002C1372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22D1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2B22D1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775D1" w14:textId="609D3745" w:rsidR="0051040D" w:rsidRPr="00604BBC" w:rsidRDefault="00AD4643" w:rsidP="002C1372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4BBC">
              <w:rPr>
                <w:rFonts w:ascii="Tahoma" w:hAnsi="Tahoma" w:cs="Tahoma"/>
                <w:sz w:val="20"/>
                <w:szCs w:val="20"/>
              </w:rPr>
              <w:t>96 070,00 Kč</w:t>
            </w:r>
          </w:p>
        </w:tc>
      </w:tr>
      <w:tr w:rsidR="0051040D" w:rsidRPr="002B22D1" w14:paraId="39192F20" w14:textId="77777777" w:rsidTr="002C1372">
        <w:trPr>
          <w:trHeight w:hRule="exact" w:val="586"/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49FDE0" w14:textId="77777777" w:rsidR="0051040D" w:rsidRPr="002B22D1" w:rsidRDefault="0051040D" w:rsidP="002C1372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22D1">
              <w:rPr>
                <w:rFonts w:ascii="Tahoma" w:hAnsi="Tahoma" w:cs="Tahoma"/>
                <w:b/>
                <w:sz w:val="20"/>
                <w:szCs w:val="20"/>
              </w:rPr>
              <w:t>DPH (v Kč)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D56D7" w14:textId="47DD709E" w:rsidR="0051040D" w:rsidRPr="00604BBC" w:rsidRDefault="00AD4643" w:rsidP="002C13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BBC">
              <w:rPr>
                <w:rFonts w:ascii="Tahoma" w:hAnsi="Tahoma" w:cs="Tahoma"/>
                <w:sz w:val="20"/>
                <w:szCs w:val="20"/>
              </w:rPr>
              <w:t>20 174,70 Kč</w:t>
            </w:r>
          </w:p>
        </w:tc>
      </w:tr>
      <w:tr w:rsidR="0051040D" w:rsidRPr="002B22D1" w14:paraId="5205A284" w14:textId="77777777" w:rsidTr="002C1372">
        <w:trPr>
          <w:trHeight w:hRule="exact" w:val="586"/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31C13C" w14:textId="77777777" w:rsidR="0051040D" w:rsidRPr="002B22D1" w:rsidRDefault="0051040D" w:rsidP="002C1372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22D1">
              <w:rPr>
                <w:rFonts w:ascii="Tahoma" w:hAnsi="Tahoma" w:cs="Tahoma"/>
                <w:b/>
                <w:sz w:val="20"/>
                <w:szCs w:val="20"/>
              </w:rPr>
              <w:t>DPH (v %)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ECFC6" w14:textId="28788E7A" w:rsidR="0051040D" w:rsidRPr="00604BBC" w:rsidRDefault="00AD4643" w:rsidP="002C13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BBC">
              <w:rPr>
                <w:rFonts w:ascii="Tahoma" w:hAnsi="Tahoma" w:cs="Tahoma"/>
                <w:sz w:val="20"/>
                <w:szCs w:val="20"/>
              </w:rPr>
              <w:t>21 %</w:t>
            </w:r>
          </w:p>
        </w:tc>
      </w:tr>
      <w:tr w:rsidR="0051040D" w:rsidRPr="002B22D1" w14:paraId="1B79B33B" w14:textId="77777777" w:rsidTr="002C1372">
        <w:trPr>
          <w:trHeight w:hRule="exact" w:val="586"/>
          <w:jc w:val="center"/>
        </w:trPr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875A6" w14:textId="77777777" w:rsidR="0051040D" w:rsidRPr="002B22D1" w:rsidRDefault="0051040D" w:rsidP="002C1372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22D1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3706" w14:textId="0A382F3B" w:rsidR="0051040D" w:rsidRPr="00604BBC" w:rsidRDefault="00AD4643" w:rsidP="002C137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4BBC">
              <w:rPr>
                <w:rFonts w:ascii="Tahoma" w:hAnsi="Tahoma" w:cs="Tahoma"/>
                <w:sz w:val="20"/>
                <w:szCs w:val="20"/>
              </w:rPr>
              <w:t>116 244,70 Kč</w:t>
            </w:r>
          </w:p>
        </w:tc>
      </w:tr>
    </w:tbl>
    <w:p w14:paraId="6666F036" w14:textId="77777777" w:rsidR="00BA14B6" w:rsidRPr="002B22D1" w:rsidRDefault="00BA14B6" w:rsidP="002772CD">
      <w:pPr>
        <w:pStyle w:val="Styl-normln-slo-odsazen"/>
        <w:numPr>
          <w:ilvl w:val="0"/>
          <w:numId w:val="26"/>
        </w:numPr>
        <w:spacing w:before="120" w:after="120" w:line="276" w:lineRule="auto"/>
        <w:ind w:left="284" w:hanging="284"/>
        <w:rPr>
          <w:rFonts w:ascii="Tahoma" w:hAnsi="Tahoma" w:cs="Tahoma"/>
          <w:b/>
          <w:color w:val="C0504D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Kupní cena podle odst. 1 tohoto článku smlouvy zahrnuje veškeré náklady prodávajícího spojené se splněním jeho závazku z této smlouvy, tj. cenu předmětu smlouvy včetně dopravného, dokumentace</w:t>
      </w:r>
      <w:r w:rsidRPr="002B22D1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2B22D1">
        <w:rPr>
          <w:rFonts w:ascii="Tahoma" w:hAnsi="Tahoma" w:cs="Tahoma"/>
          <w:sz w:val="20"/>
          <w:szCs w:val="20"/>
        </w:rPr>
        <w:t>,</w:t>
      </w:r>
      <w:r w:rsidRPr="002B22D1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2B22D1">
        <w:rPr>
          <w:rFonts w:ascii="Tahoma" w:hAnsi="Tahoma" w:cs="Tahoma"/>
          <w:sz w:val="20"/>
          <w:szCs w:val="20"/>
        </w:rPr>
        <w:t>předmětu smlouvy</w:t>
      </w:r>
      <w:r w:rsidRPr="002B22D1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2B22D1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14:paraId="161A4859" w14:textId="77777777" w:rsidR="00BA14B6" w:rsidRPr="002B22D1" w:rsidRDefault="00BA14B6" w:rsidP="002772CD">
      <w:pPr>
        <w:pStyle w:val="Styl-normln-slo-odsazen"/>
        <w:numPr>
          <w:ilvl w:val="0"/>
          <w:numId w:val="26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</w:t>
      </w:r>
      <w:r w:rsidRPr="002B22D1">
        <w:rPr>
          <w:rFonts w:ascii="Tahoma" w:hAnsi="Tahoma" w:cs="Tahoma"/>
          <w:sz w:val="20"/>
          <w:szCs w:val="20"/>
        </w:rPr>
        <w:lastRenderedPageBreak/>
        <w:t xml:space="preserve">kupní ceně bez DPH povinen účtovat DPH ve výši platné </w:t>
      </w:r>
      <w:bookmarkStart w:id="1" w:name="_Hlk82416515"/>
      <w:r w:rsidRPr="002B22D1">
        <w:rPr>
          <w:rFonts w:ascii="Tahoma" w:hAnsi="Tahoma" w:cs="Tahoma"/>
          <w:sz w:val="20"/>
          <w:szCs w:val="20"/>
        </w:rPr>
        <w:t>ke dni uskutečnění zdanitelného plnění.</w:t>
      </w:r>
      <w:bookmarkEnd w:id="1"/>
      <w:r w:rsidRPr="002B22D1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uzavírat dodatek. V případě, že dodavatel stanoví sazbu DPH či DPH v rozporu s platnými právními předpisy, je povinen uhradit kupujícímu veškerou škodu, která mu v souvislosti s tím vznikla.</w:t>
      </w:r>
    </w:p>
    <w:p w14:paraId="6DF8E41E" w14:textId="40E31ACF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005452BB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Místo a doba plnění</w:t>
      </w:r>
    </w:p>
    <w:p w14:paraId="3A3D7B09" w14:textId="306D855B" w:rsidR="0027423B" w:rsidRPr="002B22D1" w:rsidRDefault="00BA14B6" w:rsidP="002772CD">
      <w:pPr>
        <w:pStyle w:val="Odstavecseseznamem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Prodávající je povinen předmět smlouvy dodat, instalovat a uvést do provozu v místě plnění, kterým je </w:t>
      </w:r>
      <w:r w:rsidR="0027423B" w:rsidRPr="002B22D1">
        <w:rPr>
          <w:rFonts w:ascii="Tahoma" w:hAnsi="Tahoma" w:cs="Tahoma"/>
          <w:sz w:val="20"/>
          <w:szCs w:val="20"/>
        </w:rPr>
        <w:t>Město Albrechtice,</w:t>
      </w:r>
      <w:r w:rsidR="003A11D1" w:rsidRPr="002B22D1">
        <w:rPr>
          <w:rFonts w:ascii="Tahoma" w:hAnsi="Tahoma" w:cs="Tahoma"/>
          <w:sz w:val="20"/>
          <w:szCs w:val="20"/>
        </w:rPr>
        <w:t xml:space="preserve"> Nemocniční 2, </w:t>
      </w:r>
      <w:r w:rsidR="00A74F4C" w:rsidRPr="002B22D1">
        <w:rPr>
          <w:rFonts w:ascii="Tahoma" w:hAnsi="Tahoma" w:cs="Tahoma"/>
          <w:sz w:val="20"/>
          <w:szCs w:val="20"/>
        </w:rPr>
        <w:t>OLÚ TRN</w:t>
      </w:r>
      <w:r w:rsidR="0027423B" w:rsidRPr="002B22D1">
        <w:rPr>
          <w:rFonts w:ascii="Tahoma" w:hAnsi="Tahoma" w:cs="Tahoma"/>
          <w:sz w:val="20"/>
          <w:szCs w:val="20"/>
        </w:rPr>
        <w:t>.</w:t>
      </w:r>
    </w:p>
    <w:p w14:paraId="3B3C7C43" w14:textId="3B01F7EA" w:rsidR="00BA14B6" w:rsidRPr="002B22D1" w:rsidRDefault="00BA14B6" w:rsidP="002772CD">
      <w:pPr>
        <w:pStyle w:val="Odstavecseseznamem"/>
        <w:numPr>
          <w:ilvl w:val="0"/>
          <w:numId w:val="17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Prodávající se zavazuje odevzdat kupujícímu instalovaný předmět smlouvy, včetně příslušenství nejpozději do </w:t>
      </w:r>
      <w:r w:rsidR="00C86D3D" w:rsidRPr="002B22D1">
        <w:rPr>
          <w:rFonts w:ascii="Tahoma" w:hAnsi="Tahoma" w:cs="Tahoma"/>
          <w:b/>
          <w:sz w:val="20"/>
          <w:szCs w:val="20"/>
        </w:rPr>
        <w:t>4</w:t>
      </w:r>
      <w:r w:rsidR="00C86D3D" w:rsidRPr="002B22D1">
        <w:rPr>
          <w:rFonts w:ascii="Tahoma" w:hAnsi="Tahoma" w:cs="Tahoma"/>
          <w:sz w:val="20"/>
          <w:szCs w:val="20"/>
        </w:rPr>
        <w:t xml:space="preserve"> </w:t>
      </w:r>
      <w:r w:rsidRPr="002B22D1">
        <w:rPr>
          <w:rFonts w:ascii="Tahoma" w:hAnsi="Tahoma" w:cs="Tahoma"/>
          <w:b/>
          <w:bCs/>
          <w:sz w:val="20"/>
          <w:szCs w:val="20"/>
        </w:rPr>
        <w:t xml:space="preserve">měsíců </w:t>
      </w:r>
      <w:r w:rsidRPr="002B22D1">
        <w:rPr>
          <w:rFonts w:ascii="Tahoma" w:hAnsi="Tahoma" w:cs="Tahoma"/>
          <w:sz w:val="20"/>
          <w:szCs w:val="20"/>
        </w:rPr>
        <w:t xml:space="preserve">od nabytí účinnosti této smlouvy. </w:t>
      </w:r>
    </w:p>
    <w:p w14:paraId="0631C74B" w14:textId="55987C97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EB731C2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14FCAB15" w14:textId="77777777" w:rsidR="00BA14B6" w:rsidRPr="002B22D1" w:rsidRDefault="00BA14B6" w:rsidP="002772CD">
      <w:pPr>
        <w:pStyle w:val="Zkladntext"/>
        <w:numPr>
          <w:ilvl w:val="0"/>
          <w:numId w:val="18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je povinen:</w:t>
      </w:r>
    </w:p>
    <w:p w14:paraId="3C3C02AC" w14:textId="77777777" w:rsidR="00BA14B6" w:rsidRPr="002B22D1" w:rsidRDefault="00BA14B6" w:rsidP="002772CD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ind w:left="641" w:hanging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Dodat předmět smlouvy řádně a včas.</w:t>
      </w:r>
    </w:p>
    <w:p w14:paraId="653F433E" w14:textId="77777777" w:rsidR="00BA14B6" w:rsidRPr="002B22D1" w:rsidRDefault="00BA14B6" w:rsidP="002772CD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Dodat kupujícímu předmět smlouvy:</w:t>
      </w:r>
    </w:p>
    <w:p w14:paraId="47039BA8" w14:textId="7C180EF7" w:rsidR="00BA14B6" w:rsidRPr="002B22D1" w:rsidRDefault="00BA14B6" w:rsidP="002772CD">
      <w:pPr>
        <w:pStyle w:val="Zkladntext"/>
        <w:numPr>
          <w:ilvl w:val="0"/>
          <w:numId w:val="20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707758B7" w14:textId="77777777" w:rsidR="00BA14B6" w:rsidRPr="002B22D1" w:rsidRDefault="00BA14B6" w:rsidP="002772CD">
      <w:pPr>
        <w:pStyle w:val="Zkladntext"/>
        <w:numPr>
          <w:ilvl w:val="0"/>
          <w:numId w:val="20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2D9358C5" w14:textId="046F91F3" w:rsidR="00BA14B6" w:rsidRPr="002B22D1" w:rsidRDefault="00BA14B6" w:rsidP="002772CD">
      <w:pPr>
        <w:pStyle w:val="Zkladntext"/>
        <w:numPr>
          <w:ilvl w:val="0"/>
          <w:numId w:val="20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v I. jakosti. </w:t>
      </w:r>
    </w:p>
    <w:p w14:paraId="08C153D0" w14:textId="77777777" w:rsidR="00BA14B6" w:rsidRPr="002B22D1" w:rsidRDefault="00BA14B6" w:rsidP="002772CD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14:paraId="7BB908A8" w14:textId="77777777" w:rsidR="00BA14B6" w:rsidRPr="002B22D1" w:rsidRDefault="00BA14B6" w:rsidP="002772CD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14:paraId="048E1AC8" w14:textId="77777777" w:rsidR="00BA14B6" w:rsidRPr="002B22D1" w:rsidRDefault="00BA14B6" w:rsidP="002772CD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333200C4" w14:textId="68C8F0C1" w:rsidR="00BA14B6" w:rsidRPr="002B22D1" w:rsidRDefault="00BA14B6" w:rsidP="002772CD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ind w:left="641" w:hanging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Řádně uchovávat v souladu se zákonem č.499/2004 Sb., o archivnictví a spisové službě a o změně některých zákonů, ve znění pozdějších předpisů, a v souladu se zákonem č. 563/1991 Sb., o účetnictví, ve znění pozdějších předpisů</w:t>
      </w:r>
      <w:r w:rsidR="00645275" w:rsidRPr="002B22D1">
        <w:rPr>
          <w:rFonts w:ascii="Tahoma" w:hAnsi="Tahoma" w:cs="Tahoma"/>
          <w:sz w:val="20"/>
          <w:szCs w:val="20"/>
        </w:rPr>
        <w:t xml:space="preserve"> a v souladu s obecnými pravidly pro žadatele a příjemce podpory po dobu do roku 2035 včetně veškeré originály účetních dokladů, smlouvu včetně jejich dodatků a další originály dokumentů, vztahující se k projektu. </w:t>
      </w:r>
    </w:p>
    <w:p w14:paraId="20541EAB" w14:textId="77777777" w:rsidR="00BA14B6" w:rsidRPr="002B22D1" w:rsidRDefault="00BA14B6" w:rsidP="002772CD">
      <w:pPr>
        <w:pStyle w:val="Zkladntext"/>
        <w:numPr>
          <w:ilvl w:val="0"/>
          <w:numId w:val="23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je povinen předat kupujícímu:</w:t>
      </w:r>
    </w:p>
    <w:p w14:paraId="56295A31" w14:textId="77777777" w:rsidR="00BA14B6" w:rsidRPr="002B22D1" w:rsidRDefault="00BA14B6" w:rsidP="002772CD">
      <w:pPr>
        <w:pStyle w:val="Odstavecseseznamem"/>
        <w:numPr>
          <w:ilvl w:val="0"/>
          <w:numId w:val="25"/>
        </w:numPr>
        <w:spacing w:after="60" w:line="276" w:lineRule="auto"/>
        <w:ind w:left="1151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2B22D1">
        <w:rPr>
          <w:rFonts w:ascii="Tahoma" w:hAnsi="Tahoma" w:cs="Tahoma"/>
          <w:color w:val="000000"/>
          <w:sz w:val="20"/>
          <w:szCs w:val="20"/>
        </w:rPr>
        <w:t xml:space="preserve"> v českém jazyce 1 x v tištěné a 1 x v elektronické podobě (na DVD nebo CD ROM ve formátu MS Office verze 2003 nebo vyšší, .</w:t>
      </w:r>
      <w:proofErr w:type="spellStart"/>
      <w:r w:rsidRPr="002B22D1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2B22D1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2B22D1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2B22D1">
        <w:rPr>
          <w:rFonts w:ascii="Tahoma" w:hAnsi="Tahoma" w:cs="Tahoma"/>
          <w:color w:val="000000"/>
          <w:sz w:val="20"/>
          <w:szCs w:val="20"/>
        </w:rPr>
        <w:t>),</w:t>
      </w:r>
    </w:p>
    <w:p w14:paraId="0B75DC00" w14:textId="77777777" w:rsidR="00BA14B6" w:rsidRPr="002B22D1" w:rsidRDefault="00BA14B6" w:rsidP="002772CD">
      <w:pPr>
        <w:pStyle w:val="Odstavecseseznamem"/>
        <w:numPr>
          <w:ilvl w:val="0"/>
          <w:numId w:val="25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prohlášení o shodě v českém nebo anglickém jazyce dle EU 2017/745</w:t>
      </w:r>
      <w:r w:rsidRPr="002B22D1">
        <w:rPr>
          <w:rFonts w:ascii="Tahoma" w:hAnsi="Tahoma" w:cs="Tahoma"/>
          <w:color w:val="000000"/>
          <w:sz w:val="20"/>
          <w:szCs w:val="20"/>
        </w:rPr>
        <w:t>,</w:t>
      </w:r>
    </w:p>
    <w:p w14:paraId="4385A971" w14:textId="77777777" w:rsidR="00BA14B6" w:rsidRPr="002B22D1" w:rsidRDefault="00BA14B6" w:rsidP="002772CD">
      <w:pPr>
        <w:pStyle w:val="Odstavecseseznamem"/>
        <w:numPr>
          <w:ilvl w:val="0"/>
          <w:numId w:val="25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technickou dokumentaci,</w:t>
      </w:r>
    </w:p>
    <w:p w14:paraId="79C22BCA" w14:textId="60645F9C" w:rsidR="00BA14B6" w:rsidRPr="002B22D1" w:rsidRDefault="00BA14B6" w:rsidP="002772CD">
      <w:pPr>
        <w:pStyle w:val="Odstavecseseznamem"/>
        <w:numPr>
          <w:ilvl w:val="0"/>
          <w:numId w:val="25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licenční ujednání k</w:t>
      </w:r>
      <w:r w:rsidR="00C3727E" w:rsidRPr="002B22D1">
        <w:rPr>
          <w:rFonts w:ascii="Tahoma" w:hAnsi="Tahoma" w:cs="Tahoma"/>
          <w:sz w:val="20"/>
          <w:szCs w:val="20"/>
        </w:rPr>
        <w:t> </w:t>
      </w:r>
      <w:r w:rsidRPr="002B22D1">
        <w:rPr>
          <w:rFonts w:ascii="Tahoma" w:hAnsi="Tahoma" w:cs="Tahoma"/>
          <w:sz w:val="20"/>
          <w:szCs w:val="20"/>
        </w:rPr>
        <w:t>software</w:t>
      </w:r>
      <w:r w:rsidR="00C3727E" w:rsidRPr="002B22D1">
        <w:rPr>
          <w:rFonts w:ascii="Tahoma" w:hAnsi="Tahoma" w:cs="Tahoma"/>
          <w:sz w:val="20"/>
          <w:szCs w:val="20"/>
        </w:rPr>
        <w:t xml:space="preserve"> (je-li</w:t>
      </w:r>
      <w:r w:rsidRPr="002B22D1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 w:rsidRPr="002B22D1">
        <w:rPr>
          <w:rFonts w:ascii="Tahoma" w:hAnsi="Tahoma" w:cs="Tahoma"/>
          <w:sz w:val="20"/>
          <w:szCs w:val="20"/>
        </w:rPr>
        <w:t>),</w:t>
      </w:r>
    </w:p>
    <w:p w14:paraId="2916D91F" w14:textId="77777777" w:rsidR="00BA14B6" w:rsidRPr="002B22D1" w:rsidRDefault="00BA14B6" w:rsidP="002772CD">
      <w:pPr>
        <w:pStyle w:val="Odstavecseseznamem"/>
        <w:numPr>
          <w:ilvl w:val="0"/>
          <w:numId w:val="25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záruční list,</w:t>
      </w:r>
    </w:p>
    <w:p w14:paraId="6C945419" w14:textId="34D6F15F" w:rsidR="00BA14B6" w:rsidRPr="002B22D1" w:rsidRDefault="00BA14B6" w:rsidP="002772CD">
      <w:pPr>
        <w:pStyle w:val="Odstavecseseznamem"/>
        <w:numPr>
          <w:ilvl w:val="0"/>
          <w:numId w:val="25"/>
        </w:numPr>
        <w:tabs>
          <w:tab w:val="left" w:pos="720"/>
          <w:tab w:val="left" w:pos="1134"/>
        </w:tabs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lastRenderedPageBreak/>
        <w:t xml:space="preserve">výchozí elektrickou revizi dle ČSN </w:t>
      </w:r>
      <w:r w:rsidRPr="002B22D1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 w:rsidRPr="002B22D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 w:rsidRPr="002B22D1">
        <w:rPr>
          <w:rFonts w:ascii="Tahoma" w:hAnsi="Tahoma" w:cs="Tahoma"/>
          <w:sz w:val="20"/>
          <w:szCs w:val="20"/>
        </w:rPr>
        <w:t>(je-li součástí předmětu plnění),</w:t>
      </w:r>
    </w:p>
    <w:p w14:paraId="116B3B1F" w14:textId="22466319" w:rsidR="00BA14B6" w:rsidRPr="002B22D1" w:rsidRDefault="00BA14B6" w:rsidP="002772CD">
      <w:pPr>
        <w:pStyle w:val="Odstavecseseznamem"/>
        <w:numPr>
          <w:ilvl w:val="0"/>
          <w:numId w:val="25"/>
        </w:numPr>
        <w:tabs>
          <w:tab w:val="left" w:pos="720"/>
          <w:tab w:val="left" w:pos="1134"/>
        </w:tabs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color w:val="000000"/>
          <w:sz w:val="20"/>
          <w:szCs w:val="20"/>
        </w:rPr>
        <w:t>protokol o přejímací zkoušce</w:t>
      </w:r>
      <w:r w:rsidR="00693FB0" w:rsidRPr="002B22D1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2B22D1">
        <w:rPr>
          <w:rFonts w:ascii="Tahoma" w:hAnsi="Tahoma" w:cs="Tahoma"/>
          <w:color w:val="000000"/>
          <w:sz w:val="20"/>
          <w:szCs w:val="20"/>
        </w:rPr>
        <w:t>,</w:t>
      </w:r>
    </w:p>
    <w:p w14:paraId="59C7C770" w14:textId="0DC36128" w:rsidR="00BA14B6" w:rsidRPr="002B22D1" w:rsidRDefault="00BA14B6" w:rsidP="002772CD">
      <w:pPr>
        <w:pStyle w:val="Odstavecseseznamem"/>
        <w:numPr>
          <w:ilvl w:val="0"/>
          <w:numId w:val="25"/>
        </w:numPr>
        <w:tabs>
          <w:tab w:val="left" w:pos="720"/>
          <w:tab w:val="left" w:pos="1134"/>
        </w:tabs>
        <w:spacing w:after="6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 w:rsidRPr="002B22D1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2B22D1">
        <w:rPr>
          <w:rFonts w:ascii="Tahoma" w:hAnsi="Tahoma" w:cs="Tahoma"/>
          <w:color w:val="000000"/>
          <w:sz w:val="20"/>
          <w:szCs w:val="20"/>
        </w:rPr>
        <w:t>.</w:t>
      </w:r>
    </w:p>
    <w:p w14:paraId="1AB5897C" w14:textId="3B7872B3" w:rsidR="00BA14B6" w:rsidRPr="002B22D1" w:rsidRDefault="00BA14B6" w:rsidP="002772CD">
      <w:pPr>
        <w:pStyle w:val="Odstavecseseznamem"/>
        <w:numPr>
          <w:ilvl w:val="0"/>
          <w:numId w:val="24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 w:rsidR="00C3727E" w:rsidRPr="002B22D1">
        <w:rPr>
          <w:rFonts w:ascii="Tahoma" w:hAnsi="Tahoma" w:cs="Tahoma"/>
          <w:sz w:val="20"/>
          <w:szCs w:val="20"/>
        </w:rPr>
        <w:t>edmětu smlouvy</w:t>
      </w:r>
      <w:r w:rsidRPr="002B22D1">
        <w:rPr>
          <w:rFonts w:ascii="Tahoma" w:hAnsi="Tahoma" w:cs="Tahoma"/>
          <w:sz w:val="20"/>
          <w:szCs w:val="20"/>
        </w:rPr>
        <w:t xml:space="preserve"> do bezvadného a plně funkčního stavu v sou</w:t>
      </w:r>
      <w:r w:rsidR="00201646">
        <w:rPr>
          <w:rFonts w:ascii="Tahoma" w:hAnsi="Tahoma" w:cs="Tahoma"/>
          <w:sz w:val="20"/>
          <w:szCs w:val="20"/>
        </w:rPr>
        <w:t>ladu se zákonem 375/2022 Sb., o </w:t>
      </w:r>
      <w:r w:rsidRPr="002B22D1">
        <w:rPr>
          <w:rFonts w:ascii="Tahoma" w:hAnsi="Tahoma" w:cs="Tahoma"/>
          <w:sz w:val="20"/>
          <w:szCs w:val="20"/>
        </w:rPr>
        <w:t>zdravotnických prostředcích a diagnostických zdravotnických prostředcích in vitro.</w:t>
      </w:r>
    </w:p>
    <w:p w14:paraId="75367F1A" w14:textId="77777777" w:rsidR="00BA14B6" w:rsidRPr="002B22D1" w:rsidRDefault="00BA14B6" w:rsidP="002772CD">
      <w:pPr>
        <w:pStyle w:val="Odstavecseseznamem"/>
        <w:numPr>
          <w:ilvl w:val="0"/>
          <w:numId w:val="24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Kupující je povinen:</w:t>
      </w:r>
    </w:p>
    <w:p w14:paraId="46B708CC" w14:textId="77777777" w:rsidR="00BA14B6" w:rsidRPr="002B22D1" w:rsidRDefault="00BA14B6" w:rsidP="002772CD">
      <w:pPr>
        <w:pStyle w:val="Zkladntext"/>
        <w:numPr>
          <w:ilvl w:val="0"/>
          <w:numId w:val="19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76D959CA" w14:textId="77777777" w:rsidR="00BA14B6" w:rsidRPr="002B22D1" w:rsidRDefault="00BA14B6" w:rsidP="002772CD">
      <w:pPr>
        <w:pStyle w:val="Zkladntext"/>
        <w:numPr>
          <w:ilvl w:val="0"/>
          <w:numId w:val="19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14:paraId="0B5698DE" w14:textId="77777777" w:rsidR="00BA14B6" w:rsidRPr="002B22D1" w:rsidRDefault="00BA14B6" w:rsidP="002772CD">
      <w:pPr>
        <w:pStyle w:val="Zkladntext"/>
        <w:numPr>
          <w:ilvl w:val="0"/>
          <w:numId w:val="19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14:paraId="1CD33707" w14:textId="2C4E4F7D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F2BD57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14:paraId="2B33F8F6" w14:textId="77777777" w:rsidR="00645275" w:rsidRPr="00201646" w:rsidRDefault="00645275" w:rsidP="002772CD">
      <w:pPr>
        <w:pStyle w:val="Import14"/>
        <w:numPr>
          <w:ilvl w:val="3"/>
          <w:numId w:val="7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01646">
        <w:rPr>
          <w:rFonts w:ascii="Tahoma" w:hAnsi="Tahoma" w:cs="Tahoma"/>
          <w:sz w:val="20"/>
          <w:szCs w:val="20"/>
        </w:rPr>
        <w:t>Kupující nabývá vlastnické právo k předmětu smlouvy jeho převzetím v místě plnění na základě protokolu o předání a převzetí předmětu smlouvy; v témže okamžiku přechází na kupujícího nebezpečí škody na předmět smlouvy.</w:t>
      </w:r>
    </w:p>
    <w:p w14:paraId="656660DA" w14:textId="0165F1D7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9E7F1D" w14:textId="589560D1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Předání a převzetí předmět</w:t>
      </w:r>
      <w:r w:rsidR="008B302A" w:rsidRPr="002B22D1">
        <w:rPr>
          <w:rFonts w:ascii="Tahoma" w:hAnsi="Tahoma" w:cs="Tahoma"/>
          <w:b/>
          <w:bCs/>
          <w:sz w:val="20"/>
          <w:szCs w:val="20"/>
        </w:rPr>
        <w:t>u</w:t>
      </w:r>
      <w:r w:rsidRPr="002B22D1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346322CC" w14:textId="77777777" w:rsidR="00645275" w:rsidRPr="002B22D1" w:rsidRDefault="00645275" w:rsidP="002772CD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 V této smlouvy. Je-li součástí závazku prodávajícího instalace předmětu smlouvy nebo seznámení s obsluhou předmětu smlouvy, dojde k převzetí předmět smlouvy kupujícím až po jejich provedení.</w:t>
      </w:r>
    </w:p>
    <w:p w14:paraId="755C4356" w14:textId="77777777" w:rsidR="00BA14B6" w:rsidRPr="002B22D1" w:rsidRDefault="00BA14B6" w:rsidP="002772CD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6F902E74" w14:textId="77777777" w:rsidR="00BA14B6" w:rsidRPr="002B22D1" w:rsidRDefault="00BA14B6" w:rsidP="002772CD">
      <w:pPr>
        <w:widowControl/>
        <w:numPr>
          <w:ilvl w:val="0"/>
          <w:numId w:val="16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hanging="607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dokladů dodaných s předmětem smlouvy,</w:t>
      </w:r>
    </w:p>
    <w:p w14:paraId="09530DDB" w14:textId="77777777" w:rsidR="00BA14B6" w:rsidRPr="002B22D1" w:rsidRDefault="00BA14B6" w:rsidP="002772CD">
      <w:pPr>
        <w:widowControl/>
        <w:numPr>
          <w:ilvl w:val="0"/>
          <w:numId w:val="16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hanging="607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předmětu smlouvy z hlediska zjevných vad.</w:t>
      </w:r>
    </w:p>
    <w:p w14:paraId="52474BD2" w14:textId="0AE31F47" w:rsidR="00BA14B6" w:rsidRPr="002B22D1" w:rsidRDefault="00BA14B6" w:rsidP="002772CD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případě zjištění zjevných vad předmětu smlouvy může kupující odmít</w:t>
      </w:r>
      <w:r w:rsidR="00201646">
        <w:rPr>
          <w:rFonts w:ascii="Tahoma" w:hAnsi="Tahoma" w:cs="Tahoma"/>
          <w:sz w:val="20"/>
          <w:szCs w:val="20"/>
        </w:rPr>
        <w:t>nout jeho převzetí, což řádně i </w:t>
      </w:r>
      <w:r w:rsidRPr="002B22D1">
        <w:rPr>
          <w:rFonts w:ascii="Tahoma" w:hAnsi="Tahoma" w:cs="Tahoma"/>
          <w:sz w:val="20"/>
          <w:szCs w:val="20"/>
        </w:rPr>
        <w:t>s důvody potvrdí na dodacím listu.</w:t>
      </w:r>
    </w:p>
    <w:p w14:paraId="14349926" w14:textId="77777777" w:rsidR="00BA14B6" w:rsidRPr="002B22D1" w:rsidRDefault="00BA14B6" w:rsidP="002772CD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14:paraId="40E402D3" w14:textId="4952162C" w:rsidR="00BA14B6" w:rsidRPr="002B22D1" w:rsidRDefault="00BA14B6" w:rsidP="002772CD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2" w:name="_Hlk82416675"/>
      <w:r w:rsidRPr="002B22D1">
        <w:rPr>
          <w:rFonts w:ascii="Tahoma" w:hAnsi="Tahoma" w:cs="Tahoma"/>
          <w:sz w:val="20"/>
          <w:szCs w:val="20"/>
        </w:rPr>
        <w:t xml:space="preserve">O předání a převzetí předmětu smlouvy prodávající vyhotoví předávací protokol, který za kupujícího podepíše k tomu pověřený zástupce – vedoucí oddělení zdravotnické techniky nebo jím pověřená osoba.  Prodávající je povinen na předávacím protokolu uvést typ předmětu smlouvy, počet kusů, sériové číslo předmětu smlouvy (pokud existuje) a datum předání. Předávací protokol </w:t>
      </w:r>
      <w:r w:rsidR="00201646">
        <w:rPr>
          <w:rFonts w:ascii="Tahoma" w:hAnsi="Tahoma" w:cs="Tahoma"/>
          <w:sz w:val="20"/>
          <w:szCs w:val="20"/>
        </w:rPr>
        <w:t>bude dále obsahovat jméno a </w:t>
      </w:r>
      <w:r w:rsidRPr="002B22D1">
        <w:rPr>
          <w:rFonts w:ascii="Tahoma" w:hAnsi="Tahoma" w:cs="Tahoma"/>
          <w:sz w:val="20"/>
          <w:szCs w:val="20"/>
        </w:rPr>
        <w:t>podpis předávající osoby za prodávajícího a jméno a podpis přejímající osoby za kupujícího. Předávací protokol bude označen číslem této smlouvy, bude-li uvedený kupuj</w:t>
      </w:r>
      <w:r w:rsidR="00A830F1" w:rsidRPr="002B22D1">
        <w:rPr>
          <w:rFonts w:ascii="Tahoma" w:hAnsi="Tahoma" w:cs="Tahoma"/>
          <w:sz w:val="20"/>
          <w:szCs w:val="20"/>
        </w:rPr>
        <w:t>ícím v jejím záhlaví a názvem a </w:t>
      </w:r>
      <w:r w:rsidRPr="002B22D1">
        <w:rPr>
          <w:rFonts w:ascii="Tahoma" w:hAnsi="Tahoma" w:cs="Tahoma"/>
          <w:sz w:val="20"/>
          <w:szCs w:val="20"/>
        </w:rPr>
        <w:t xml:space="preserve">registračním číslem projektu. Prodávající odpovídá za to, že informace uvedené v předávacím protokolu odpovídají skutečnosti. Nebude-li předávací protokol obsahovat údaje uvedené v tomto odstavci, je kupující </w:t>
      </w:r>
      <w:r w:rsidRPr="002B22D1">
        <w:rPr>
          <w:rFonts w:ascii="Tahoma" w:hAnsi="Tahoma" w:cs="Tahoma"/>
          <w:sz w:val="20"/>
          <w:szCs w:val="20"/>
        </w:rPr>
        <w:lastRenderedPageBreak/>
        <w:t>oprávněn převzetí předmětu smlouvy odmítnout, a to až do předání předávacího protokolu s výše uvedenými údaji.</w:t>
      </w:r>
    </w:p>
    <w:bookmarkEnd w:id="2"/>
    <w:p w14:paraId="064D1F17" w14:textId="77777777" w:rsidR="00BA14B6" w:rsidRPr="002B22D1" w:rsidRDefault="00BA14B6" w:rsidP="002772CD">
      <w:pPr>
        <w:widowControl/>
        <w:numPr>
          <w:ilvl w:val="0"/>
          <w:numId w:val="15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74C6838B" w14:textId="3DA2B83A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B154FE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DF46DE0" w14:textId="77777777" w:rsidR="00645275" w:rsidRPr="002B22D1" w:rsidRDefault="00645275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Úhrada kupní ceny bude provedena jednorázově na základě faktury prodávajícího po převzetí předmětu smlouvy kupujícím</w:t>
      </w:r>
      <w:r w:rsidRPr="002B22D1">
        <w:rPr>
          <w:rFonts w:ascii="Tahoma" w:hAnsi="Tahoma" w:cs="Tahoma"/>
          <w:b/>
          <w:sz w:val="20"/>
          <w:szCs w:val="20"/>
        </w:rPr>
        <w:t xml:space="preserve">. </w:t>
      </w:r>
      <w:r w:rsidRPr="002B22D1">
        <w:rPr>
          <w:rFonts w:ascii="Tahoma" w:hAnsi="Tahoma" w:cs="Tahoma"/>
          <w:sz w:val="20"/>
          <w:szCs w:val="20"/>
        </w:rPr>
        <w:t>Zálohové platby nebudou poskytovány.</w:t>
      </w:r>
    </w:p>
    <w:p w14:paraId="59E7A729" w14:textId="77777777" w:rsidR="00BA14B6" w:rsidRPr="002B22D1" w:rsidRDefault="00BA14B6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b/>
          <w:sz w:val="20"/>
          <w:szCs w:val="20"/>
        </w:rPr>
        <w:t>Je-li prodávající plátcem DPH</w:t>
      </w:r>
      <w:r w:rsidRPr="002B22D1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2B22D1">
        <w:rPr>
          <w:rFonts w:ascii="Tahoma" w:hAnsi="Tahoma" w:cs="Tahoma"/>
          <w:b/>
          <w:sz w:val="20"/>
          <w:szCs w:val="20"/>
        </w:rPr>
        <w:t>Není-li prodávající plátcem DPH</w:t>
      </w:r>
      <w:r w:rsidRPr="002B22D1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2B22D1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2B22D1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2CE58EAD" w14:textId="4F2A5819" w:rsidR="008B302A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r w:rsidR="008B302A" w:rsidRPr="002B22D1">
        <w:rPr>
          <w:rFonts w:ascii="Tahoma" w:hAnsi="Tahoma" w:cs="Tahoma"/>
          <w:b/>
          <w:sz w:val="20"/>
          <w:szCs w:val="20"/>
        </w:rPr>
        <w:t>KRN/FMP/2024/09/přístrojové vybavení – M. Al-</w:t>
      </w:r>
      <w:proofErr w:type="spellStart"/>
      <w:r w:rsidR="008B302A" w:rsidRPr="002B22D1">
        <w:rPr>
          <w:rFonts w:ascii="Tahoma" w:hAnsi="Tahoma" w:cs="Tahoma"/>
          <w:b/>
          <w:sz w:val="20"/>
          <w:szCs w:val="20"/>
        </w:rPr>
        <w:t>ce</w:t>
      </w:r>
      <w:proofErr w:type="spellEnd"/>
      <w:r w:rsidR="00693FB0" w:rsidRPr="002B22D1">
        <w:rPr>
          <w:rFonts w:ascii="Tahoma" w:hAnsi="Tahoma" w:cs="Tahoma"/>
          <w:b/>
          <w:sz w:val="20"/>
          <w:szCs w:val="20"/>
        </w:rPr>
        <w:t xml:space="preserve">, část </w:t>
      </w:r>
      <w:r w:rsidR="00EE6C2D" w:rsidRPr="002B22D1">
        <w:rPr>
          <w:rFonts w:ascii="Tahoma" w:hAnsi="Tahoma" w:cs="Tahoma"/>
          <w:b/>
          <w:sz w:val="20"/>
          <w:szCs w:val="20"/>
        </w:rPr>
        <w:t>3</w:t>
      </w:r>
      <w:r w:rsidR="00693FB0" w:rsidRPr="002B22D1">
        <w:rPr>
          <w:rFonts w:ascii="Tahoma" w:hAnsi="Tahoma" w:cs="Tahoma"/>
          <w:b/>
          <w:sz w:val="20"/>
          <w:szCs w:val="20"/>
        </w:rPr>
        <w:t>,</w:t>
      </w:r>
    </w:p>
    <w:p w14:paraId="49CDEB4E" w14:textId="77777777" w:rsidR="003A11D1" w:rsidRPr="002B22D1" w:rsidRDefault="003A11D1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název projektu </w:t>
      </w:r>
      <w:r w:rsidRPr="002B22D1">
        <w:rPr>
          <w:rFonts w:ascii="Tahoma" w:hAnsi="Tahoma" w:cs="Tahoma"/>
          <w:b/>
          <w:bCs/>
          <w:sz w:val="20"/>
          <w:szCs w:val="20"/>
        </w:rPr>
        <w:t>„Zvýšení kvality poskytované následné lůžkové péče včetně přestavby v OLÚ TRN Městě Albrechtice“</w:t>
      </w:r>
      <w:r w:rsidRPr="002B22D1">
        <w:rPr>
          <w:rFonts w:ascii="Tahoma" w:hAnsi="Tahoma" w:cs="Tahoma"/>
          <w:sz w:val="20"/>
          <w:szCs w:val="20"/>
        </w:rPr>
        <w:t xml:space="preserve">, </w:t>
      </w:r>
      <w:r w:rsidRPr="002B22D1">
        <w:rPr>
          <w:rFonts w:ascii="Tahoma" w:hAnsi="Tahoma" w:cs="Tahoma"/>
          <w:b/>
          <w:sz w:val="20"/>
          <w:szCs w:val="20"/>
        </w:rPr>
        <w:t>registrační číslo projektu: CZ.06.04.03/00/22_031/0002562</w:t>
      </w:r>
      <w:r w:rsidRPr="002B22D1">
        <w:rPr>
          <w:rFonts w:ascii="Tahoma" w:hAnsi="Tahoma" w:cs="Tahoma"/>
          <w:sz w:val="20"/>
          <w:szCs w:val="20"/>
        </w:rPr>
        <w:t xml:space="preserve"> a text „</w:t>
      </w:r>
      <w:r w:rsidRPr="002B22D1">
        <w:rPr>
          <w:rFonts w:ascii="Tahoma" w:hAnsi="Tahoma" w:cs="Tahoma"/>
          <w:b/>
          <w:sz w:val="20"/>
          <w:szCs w:val="20"/>
        </w:rPr>
        <w:t>spolufinancováno v rámci IROP</w:t>
      </w:r>
      <w:r w:rsidRPr="002B22D1">
        <w:rPr>
          <w:rFonts w:ascii="Tahoma" w:hAnsi="Tahoma" w:cs="Tahoma"/>
          <w:sz w:val="20"/>
          <w:szCs w:val="20"/>
        </w:rPr>
        <w:t>“,</w:t>
      </w:r>
    </w:p>
    <w:p w14:paraId="7AB3AEA9" w14:textId="77777777" w:rsidR="00BA14B6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číslo a datum vystavení faktury,</w:t>
      </w:r>
    </w:p>
    <w:p w14:paraId="5A408E51" w14:textId="77777777" w:rsidR="00BA14B6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14:paraId="79A09C41" w14:textId="77777777" w:rsidR="00BA14B6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14:paraId="219759DC" w14:textId="77777777" w:rsidR="00BA14B6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14:paraId="465F044B" w14:textId="77777777" w:rsidR="00BA14B6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lhůtu splatnosti faktury,</w:t>
      </w:r>
    </w:p>
    <w:p w14:paraId="46349400" w14:textId="77777777" w:rsidR="00BA14B6" w:rsidRPr="002B22D1" w:rsidRDefault="00BA14B6" w:rsidP="002772CD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14:paraId="6A1EAD46" w14:textId="5CCEDA19" w:rsidR="00BA14B6" w:rsidRPr="002B22D1" w:rsidRDefault="00BA14B6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Lhůta splatnosti faktury činí 30 kalendářních dnů ode dne jejího doručení kupujícímu.</w:t>
      </w:r>
      <w:r w:rsidR="00604EF2" w:rsidRPr="002B22D1">
        <w:rPr>
          <w:rFonts w:ascii="Tahoma" w:hAnsi="Tahoma" w:cs="Tahoma"/>
          <w:sz w:val="20"/>
          <w:szCs w:val="20"/>
        </w:rPr>
        <w:t xml:space="preserve"> Doručení faktury se prove</w:t>
      </w:r>
      <w:r w:rsidR="004115E3">
        <w:rPr>
          <w:rFonts w:ascii="Tahoma" w:hAnsi="Tahoma" w:cs="Tahoma"/>
          <w:sz w:val="20"/>
          <w:szCs w:val="20"/>
        </w:rPr>
        <w:t xml:space="preserve">de osobně oproti podpisu osoby </w:t>
      </w:r>
      <w:bookmarkStart w:id="3" w:name="_GoBack"/>
      <w:bookmarkEnd w:id="3"/>
      <w:r w:rsidR="00604EF2" w:rsidRPr="002B22D1">
        <w:rPr>
          <w:rFonts w:ascii="Tahoma" w:hAnsi="Tahoma" w:cs="Tahoma"/>
          <w:sz w:val="20"/>
          <w:szCs w:val="20"/>
        </w:rPr>
        <w:t xml:space="preserve">příslušné v této věci kupujícího zastupovat, doručenkou prostřednictvím provozovatele poštovních služeb, do datové schránky </w:t>
      </w:r>
      <w:bookmarkStart w:id="4" w:name="_Hlk81510498"/>
      <w:r w:rsidR="00604EF2" w:rsidRPr="002B22D1">
        <w:rPr>
          <w:rFonts w:ascii="Tahoma" w:hAnsi="Tahoma" w:cs="Tahoma"/>
          <w:sz w:val="20"/>
          <w:szCs w:val="20"/>
        </w:rPr>
        <w:t>nebo mailem na adresu</w:t>
      </w:r>
      <w:bookmarkEnd w:id="4"/>
      <w:r w:rsidR="00604EF2" w:rsidRPr="002B22D1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8B302A" w:rsidRPr="002B22D1">
          <w:rPr>
            <w:rStyle w:val="Hypertextovodkaz"/>
            <w:rFonts w:ascii="Tahoma" w:hAnsi="Tahoma" w:cs="Tahoma"/>
            <w:sz w:val="20"/>
            <w:szCs w:val="20"/>
          </w:rPr>
          <w:t>fakturace@szzkrnov.cz</w:t>
        </w:r>
      </w:hyperlink>
      <w:r w:rsidR="008B302A" w:rsidRPr="002B22D1">
        <w:rPr>
          <w:rFonts w:ascii="Tahoma" w:hAnsi="Tahoma" w:cs="Tahoma"/>
          <w:sz w:val="20"/>
          <w:szCs w:val="20"/>
        </w:rPr>
        <w:t>.</w:t>
      </w:r>
    </w:p>
    <w:p w14:paraId="35EA3823" w14:textId="77777777" w:rsidR="00BA14B6" w:rsidRPr="002B22D1" w:rsidRDefault="00BA14B6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5786B28" w14:textId="77777777" w:rsidR="00BA14B6" w:rsidRPr="002B22D1" w:rsidRDefault="00BA14B6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Nebude</w:t>
      </w:r>
      <w:r w:rsidRPr="002B22D1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2B22D1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B3D292" w14:textId="77777777" w:rsidR="00BA14B6" w:rsidRPr="002B22D1" w:rsidRDefault="00BA14B6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109a zákona o DPH a hodnotu plnění odpovídající dani z přidané hodnoty uhradí v termínu splatnosti faktury stanoveném </w:t>
      </w:r>
      <w:r w:rsidRPr="002B22D1">
        <w:rPr>
          <w:rFonts w:ascii="Tahoma" w:hAnsi="Tahoma" w:cs="Tahoma"/>
          <w:sz w:val="20"/>
          <w:szCs w:val="20"/>
        </w:rPr>
        <w:lastRenderedPageBreak/>
        <w:t>dle smlouvy přímo na osobní depozitní účet prodávajícího vedený u místně příslušného správce daně v případě, že:</w:t>
      </w:r>
    </w:p>
    <w:p w14:paraId="38A1FA64" w14:textId="77777777" w:rsidR="00BA14B6" w:rsidRPr="002B22D1" w:rsidRDefault="00BA14B6" w:rsidP="002772CD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390F8F84" w14:textId="77777777" w:rsidR="00BA14B6" w:rsidRPr="002B22D1" w:rsidRDefault="00BA14B6" w:rsidP="002772CD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14:paraId="250195D8" w14:textId="77777777" w:rsidR="00BA14B6" w:rsidRPr="002B22D1" w:rsidRDefault="00BA14B6" w:rsidP="002772CD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48DE3F9B" w14:textId="77777777" w:rsidR="00BA14B6" w:rsidRPr="002B22D1" w:rsidRDefault="00BA14B6" w:rsidP="002C1372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13B09BC" w14:textId="77777777" w:rsidR="00BA14B6" w:rsidRPr="002B22D1" w:rsidRDefault="00BA14B6" w:rsidP="002772CD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20F11E68" w14:textId="0FE181DF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283C98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BA971A0" w14:textId="77777777" w:rsidR="00BA14B6" w:rsidRPr="002B22D1" w:rsidRDefault="00BA14B6" w:rsidP="002C1372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22D1">
        <w:rPr>
          <w:rFonts w:ascii="Tahoma" w:hAnsi="Tahoma" w:cs="Tahoma"/>
          <w:b/>
          <w:sz w:val="20"/>
          <w:szCs w:val="20"/>
        </w:rPr>
        <w:t>Záruka za jakost</w:t>
      </w:r>
    </w:p>
    <w:p w14:paraId="5E79023B" w14:textId="1FFE2C32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kupujícímu na předmět smlouvy 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2B22D1">
          <w:rPr>
            <w:rFonts w:ascii="Tahoma" w:hAnsi="Tahoma" w:cs="Tahoma"/>
            <w:sz w:val="20"/>
            <w:szCs w:val="20"/>
          </w:rPr>
          <w:t>2113 a</w:t>
        </w:r>
      </w:smartTag>
      <w:r w:rsidRPr="002B22D1">
        <w:rPr>
          <w:rFonts w:ascii="Tahoma" w:hAnsi="Tahoma" w:cs="Tahoma"/>
          <w:sz w:val="20"/>
          <w:szCs w:val="20"/>
        </w:rPr>
        <w:t xml:space="preserve"> násl. občanského zákoníku, a to v délce </w:t>
      </w:r>
      <w:r w:rsidR="00AD4643" w:rsidRPr="00604BBC">
        <w:rPr>
          <w:rFonts w:ascii="Tahoma" w:hAnsi="Tahoma" w:cs="Tahoma"/>
          <w:sz w:val="20"/>
          <w:szCs w:val="20"/>
        </w:rPr>
        <w:t>36</w:t>
      </w:r>
      <w:r w:rsidRPr="00604BBC">
        <w:rPr>
          <w:rFonts w:ascii="Tahoma" w:hAnsi="Tahoma" w:cs="Tahoma"/>
          <w:sz w:val="20"/>
          <w:szCs w:val="20"/>
        </w:rPr>
        <w:t xml:space="preserve"> měsíců</w:t>
      </w:r>
      <w:r w:rsidRPr="002B22D1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B22D1">
        <w:rPr>
          <w:rFonts w:ascii="Tahoma" w:hAnsi="Tahoma" w:cs="Tahoma"/>
          <w:sz w:val="20"/>
          <w:szCs w:val="20"/>
        </w:rPr>
        <w:t xml:space="preserve">(dále též „záruční doba“). </w:t>
      </w:r>
    </w:p>
    <w:p w14:paraId="63577C0E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2E3F1122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14:paraId="44811C58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14:paraId="28293164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81509058"/>
      <w:r w:rsidRPr="002B22D1">
        <w:rPr>
          <w:rFonts w:ascii="Tahoma" w:hAnsi="Tahoma" w:cs="Tahoma"/>
          <w:sz w:val="20"/>
          <w:szCs w:val="20"/>
        </w:rPr>
        <w:t>Záruční servis podle této smlouvy zahrnuje:</w:t>
      </w:r>
    </w:p>
    <w:p w14:paraId="4F587F80" w14:textId="0763DF7F" w:rsidR="00BA14B6" w:rsidRPr="002B22D1" w:rsidRDefault="00BA14B6" w:rsidP="002772CD">
      <w:pPr>
        <w:numPr>
          <w:ilvl w:val="0"/>
          <w:numId w:val="4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14:paraId="1C0B84AF" w14:textId="77777777" w:rsidR="00BA14B6" w:rsidRPr="002B22D1" w:rsidRDefault="00BA14B6" w:rsidP="002772CD">
      <w:pPr>
        <w:numPr>
          <w:ilvl w:val="0"/>
          <w:numId w:val="4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00EDE2ED" w14:textId="77777777" w:rsidR="00BA14B6" w:rsidRPr="002B22D1" w:rsidRDefault="00BA14B6" w:rsidP="002772CD">
      <w:pPr>
        <w:numPr>
          <w:ilvl w:val="0"/>
          <w:numId w:val="4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2B22D1">
        <w:rPr>
          <w:rFonts w:ascii="Tahoma" w:hAnsi="Tahoma" w:cs="Tahoma"/>
          <w:sz w:val="20"/>
          <w:szCs w:val="20"/>
        </w:rPr>
        <w:t>kitů</w:t>
      </w:r>
      <w:proofErr w:type="spellEnd"/>
      <w:r w:rsidRPr="002B22D1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bookmarkEnd w:id="5"/>
    <w:p w14:paraId="1E54305A" w14:textId="77777777" w:rsidR="00BA14B6" w:rsidRPr="002B22D1" w:rsidRDefault="00BA14B6" w:rsidP="002C1372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22D1">
        <w:rPr>
          <w:rFonts w:ascii="Tahoma" w:hAnsi="Tahoma" w:cs="Tahoma"/>
          <w:b/>
          <w:sz w:val="20"/>
          <w:szCs w:val="20"/>
        </w:rPr>
        <w:t>Práva z vadného plnění</w:t>
      </w:r>
    </w:p>
    <w:p w14:paraId="1ECFA964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1FA219C0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Vady předmětu smlouvy dle odst. 6 tohoto článku a vady, které se projeví po záruční dobu, budou prodávajícím odstraněny bezplatně. </w:t>
      </w:r>
    </w:p>
    <w:p w14:paraId="28C2ABF9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lastRenderedPageBreak/>
        <w:t>Veškeré vady předmětu smlouvy je kupující povinen uplatnit u prodávajícího bez zbytečného odkladu poté, kdy vadu zjistil, a to formou písemného oznámení (např. e-mailem), obsahujícím co nejpodrobnější specifikaci zjištěné vady. Kupující bude vady předmětu smlouvy oznamovat na:</w:t>
      </w:r>
    </w:p>
    <w:p w14:paraId="4F4C4566" w14:textId="23D88862" w:rsidR="00BA14B6" w:rsidRPr="00604BBC" w:rsidRDefault="00BA14B6" w:rsidP="002772CD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>pevná linka:</w:t>
      </w:r>
      <w:r w:rsidR="0089664B" w:rsidRPr="00604BBC">
        <w:rPr>
          <w:rFonts w:ascii="Tahoma" w:hAnsi="Tahoma" w:cs="Tahoma"/>
          <w:sz w:val="20"/>
          <w:szCs w:val="20"/>
        </w:rPr>
        <w:t xml:space="preserve"> +420 220 770 505</w:t>
      </w:r>
    </w:p>
    <w:p w14:paraId="3C0F4102" w14:textId="3FA6D8A5" w:rsidR="00BA14B6" w:rsidRPr="00604BBC" w:rsidRDefault="00BA14B6" w:rsidP="002772CD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 xml:space="preserve">e-mail: </w:t>
      </w:r>
      <w:r w:rsidR="0089664B" w:rsidRPr="00604BBC">
        <w:rPr>
          <w:rFonts w:ascii="Tahoma" w:hAnsi="Tahoma" w:cs="Tahoma"/>
          <w:sz w:val="20"/>
          <w:szCs w:val="20"/>
        </w:rPr>
        <w:t>servis@sntplus.cz</w:t>
      </w:r>
    </w:p>
    <w:p w14:paraId="303DB33C" w14:textId="6DD4E58F" w:rsidR="00BA14B6" w:rsidRPr="00604BBC" w:rsidRDefault="00BA14B6" w:rsidP="002772CD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 xml:space="preserve">adresu: </w:t>
      </w:r>
      <w:r w:rsidR="0089664B" w:rsidRPr="00604BBC">
        <w:rPr>
          <w:rFonts w:ascii="Tahoma" w:hAnsi="Tahoma" w:cs="Tahoma"/>
          <w:sz w:val="20"/>
          <w:szCs w:val="20"/>
        </w:rPr>
        <w:t>Novodvorská 994/138, 142 00 Praha 4</w:t>
      </w:r>
    </w:p>
    <w:p w14:paraId="4A11BF8A" w14:textId="24160166" w:rsidR="00BA14B6" w:rsidRPr="00604BBC" w:rsidRDefault="00BA14B6" w:rsidP="002772CD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604BBC">
        <w:rPr>
          <w:rFonts w:ascii="Tahoma" w:hAnsi="Tahoma" w:cs="Tahoma"/>
          <w:sz w:val="20"/>
          <w:szCs w:val="20"/>
        </w:rPr>
        <w:t xml:space="preserve">do datové schránky: </w:t>
      </w:r>
      <w:r w:rsidR="0089664B" w:rsidRPr="00604BBC">
        <w:rPr>
          <w:rFonts w:ascii="Tahoma" w:hAnsi="Tahoma" w:cs="Tahoma"/>
          <w:sz w:val="20"/>
          <w:szCs w:val="20"/>
        </w:rPr>
        <w:t>e6zyqcp</w:t>
      </w:r>
    </w:p>
    <w:p w14:paraId="25EDFA8F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35B2093B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2B22D1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14:paraId="5DF929B3" w14:textId="77777777" w:rsidR="00CA3355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14:paraId="78A184A3" w14:textId="53B5FE18" w:rsidR="00BA14B6" w:rsidRPr="002B22D1" w:rsidRDefault="00201646" w:rsidP="002C1372">
      <w:pPr>
        <w:pStyle w:val="rove2"/>
        <w:tabs>
          <w:tab w:val="left" w:pos="426"/>
        </w:tabs>
        <w:spacing w:before="120"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A14B6" w:rsidRPr="002B22D1">
        <w:rPr>
          <w:rFonts w:ascii="Tahoma" w:hAnsi="Tahoma" w:cs="Tahoma"/>
          <w:sz w:val="20"/>
          <w:szCs w:val="20"/>
        </w:rPr>
        <w:t>Nástup na opravu do 24 hodin od nahlášení závady, oprava do 48 hodin od nahlášení poruchy nebo závady bez potřeby náhradního dílu, 72 hodin v případě potřeby náhradního dílu ze zahraničí, případně v jiné lhůtě dohodnuté s objednatelem v konkrétním případě.</w:t>
      </w:r>
    </w:p>
    <w:p w14:paraId="4FA5FA20" w14:textId="77777777" w:rsidR="00CA3355" w:rsidRPr="002B22D1" w:rsidRDefault="00CA3355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1510601"/>
      <w:r w:rsidRPr="002B22D1">
        <w:rPr>
          <w:rFonts w:ascii="Tahoma" w:hAnsi="Tahoma" w:cs="Tahoma"/>
          <w:sz w:val="20"/>
          <w:szCs w:val="20"/>
        </w:rPr>
        <w:t>V případě, že prodávající vadu nebude schopen ve lhůtě 6 pracovních dnů vadu odstranit, je povinen kupujícímu poskytnout zdarma náhradní plnění předmětu smlouvy stejných nebo vyšších technických parametrů, a to až do doby do odstranění reklamované vady a uvedení původního předmětu plnění do provozu.</w:t>
      </w:r>
    </w:p>
    <w:bookmarkEnd w:id="6"/>
    <w:p w14:paraId="676A4FBB" w14:textId="3AC1A25A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7481B623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2F354A90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7" w:name="_Hlk81510290"/>
      <w:r w:rsidRPr="002B22D1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2A7A34E1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2D4B68EA" w14:textId="77777777" w:rsidR="00BA14B6" w:rsidRPr="002B22D1" w:rsidRDefault="00BA14B6" w:rsidP="002772C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7"/>
    </w:p>
    <w:p w14:paraId="6CD23A8D" w14:textId="4D4DB2C0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81D3539" w14:textId="77777777" w:rsidR="00BA14B6" w:rsidRPr="002B22D1" w:rsidRDefault="00BA14B6" w:rsidP="002C137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b/>
          <w:bCs/>
          <w:sz w:val="20"/>
          <w:szCs w:val="20"/>
        </w:rPr>
        <w:t>Sankce</w:t>
      </w:r>
    </w:p>
    <w:p w14:paraId="74029C2E" w14:textId="35D19296" w:rsidR="00A960B0" w:rsidRPr="002B22D1" w:rsidRDefault="00BA14B6" w:rsidP="002772CD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Neodevzdá-li prodávající kupujícímu předmět smlouvy ve lhůtě uvedené v čl. V odst. 2 této smlouvy, je povinen zaplatit kupujícímu smluvní pokutu ve výši </w:t>
      </w:r>
      <w:r w:rsidRPr="002B22D1">
        <w:rPr>
          <w:rFonts w:ascii="Tahoma" w:hAnsi="Tahoma" w:cs="Tahoma"/>
          <w:b/>
          <w:sz w:val="20"/>
          <w:szCs w:val="20"/>
        </w:rPr>
        <w:t>0,</w:t>
      </w:r>
      <w:r w:rsidR="00604EF2" w:rsidRPr="002B22D1">
        <w:rPr>
          <w:rFonts w:ascii="Tahoma" w:hAnsi="Tahoma" w:cs="Tahoma"/>
          <w:b/>
          <w:sz w:val="20"/>
          <w:szCs w:val="20"/>
        </w:rPr>
        <w:t>2</w:t>
      </w:r>
      <w:r w:rsidRPr="002B22D1">
        <w:rPr>
          <w:rFonts w:ascii="Tahoma" w:hAnsi="Tahoma" w:cs="Tahoma"/>
          <w:b/>
          <w:sz w:val="20"/>
          <w:szCs w:val="20"/>
        </w:rPr>
        <w:t xml:space="preserve"> </w:t>
      </w:r>
      <w:r w:rsidRPr="002B22D1">
        <w:rPr>
          <w:rFonts w:ascii="Tahoma" w:hAnsi="Tahoma" w:cs="Tahoma"/>
          <w:b/>
          <w:iCs/>
          <w:sz w:val="20"/>
          <w:szCs w:val="20"/>
        </w:rPr>
        <w:t>%</w:t>
      </w:r>
      <w:r w:rsidRPr="002B22D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B22D1">
        <w:rPr>
          <w:rFonts w:ascii="Tahoma" w:hAnsi="Tahoma" w:cs="Tahoma"/>
          <w:iCs/>
          <w:sz w:val="20"/>
          <w:szCs w:val="20"/>
        </w:rPr>
        <w:t xml:space="preserve">z kupní ceny bez DPH uvedené v čl. IV odst. 1 </w:t>
      </w:r>
      <w:r w:rsidRPr="002B22D1">
        <w:rPr>
          <w:rFonts w:ascii="Tahoma" w:hAnsi="Tahoma" w:cs="Tahoma"/>
          <w:iCs/>
          <w:sz w:val="20"/>
          <w:szCs w:val="20"/>
        </w:rPr>
        <w:lastRenderedPageBreak/>
        <w:t>této smlouvy</w:t>
      </w:r>
      <w:r w:rsidRPr="002B22D1">
        <w:rPr>
          <w:rFonts w:ascii="Tahoma" w:hAnsi="Tahoma" w:cs="Tahoma"/>
          <w:sz w:val="20"/>
          <w:szCs w:val="20"/>
        </w:rPr>
        <w:t xml:space="preserve">, a to za každý započatý den prodlení. </w:t>
      </w:r>
    </w:p>
    <w:p w14:paraId="21CE531C" w14:textId="37B0A706" w:rsidR="00604EF2" w:rsidRPr="002B22D1" w:rsidRDefault="00604EF2" w:rsidP="002772CD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Pokud prodávající neodstraní vadu předmětu smlouvy ve lhůt</w:t>
      </w:r>
      <w:r w:rsidR="00A830F1" w:rsidRPr="002B22D1">
        <w:rPr>
          <w:rFonts w:ascii="Tahoma" w:hAnsi="Tahoma" w:cs="Tahoma"/>
          <w:sz w:val="20"/>
          <w:szCs w:val="20"/>
        </w:rPr>
        <w:t>ách</w:t>
      </w:r>
      <w:r w:rsidRPr="002B22D1">
        <w:rPr>
          <w:rFonts w:ascii="Tahoma" w:hAnsi="Tahoma" w:cs="Tahoma"/>
          <w:sz w:val="20"/>
          <w:szCs w:val="20"/>
        </w:rPr>
        <w:t xml:space="preserve"> uveden</w:t>
      </w:r>
      <w:r w:rsidR="00A830F1" w:rsidRPr="002B22D1">
        <w:rPr>
          <w:rFonts w:ascii="Tahoma" w:hAnsi="Tahoma" w:cs="Tahoma"/>
          <w:sz w:val="20"/>
          <w:szCs w:val="20"/>
        </w:rPr>
        <w:t>ých</w:t>
      </w:r>
      <w:r w:rsidRPr="002B22D1">
        <w:rPr>
          <w:rFonts w:ascii="Tahoma" w:hAnsi="Tahoma" w:cs="Tahoma"/>
          <w:sz w:val="20"/>
          <w:szCs w:val="20"/>
        </w:rPr>
        <w:t xml:space="preserve"> v čl. X této smlouvy </w:t>
      </w:r>
      <w:r w:rsidRPr="002B22D1">
        <w:rPr>
          <w:rFonts w:ascii="Tahoma" w:hAnsi="Tahoma" w:cs="Tahoma"/>
          <w:iCs/>
          <w:sz w:val="20"/>
          <w:szCs w:val="20"/>
        </w:rPr>
        <w:t>a zároveň v této lhůtě kupujícímu za vadný předmět smlouvy neposkytne zdarma náhradní předmět smlouvy o stejných nebo vyšších technických parametrech</w:t>
      </w:r>
      <w:r w:rsidRPr="002B22D1">
        <w:rPr>
          <w:rFonts w:ascii="Tahoma" w:hAnsi="Tahoma" w:cs="Tahoma"/>
          <w:sz w:val="20"/>
          <w:szCs w:val="20"/>
        </w:rPr>
        <w:t xml:space="preserve">, je povinen zaplatit kupujícímu smluvní pokutu ve výši </w:t>
      </w:r>
      <w:r w:rsidRPr="002B22D1">
        <w:rPr>
          <w:rFonts w:ascii="Tahoma" w:hAnsi="Tahoma" w:cs="Tahoma"/>
          <w:b/>
          <w:iCs/>
          <w:sz w:val="20"/>
          <w:szCs w:val="20"/>
        </w:rPr>
        <w:t>0,2 %</w:t>
      </w:r>
      <w:r w:rsidRPr="002B22D1">
        <w:rPr>
          <w:rFonts w:ascii="Tahoma" w:hAnsi="Tahoma" w:cs="Tahoma"/>
          <w:iCs/>
          <w:sz w:val="20"/>
          <w:szCs w:val="20"/>
        </w:rPr>
        <w:t xml:space="preserve"> z kupní ceny bez DPH podle čl. IV odst. 1 této smlouvy, a to za každý započatý den prodlení až do odstranění vady, nebo do poskytnutí náhradního předmětu smlouvy o stejných nebo vyšších technických parametrech</w:t>
      </w:r>
      <w:r w:rsidRPr="002B22D1">
        <w:rPr>
          <w:rFonts w:ascii="Tahoma" w:hAnsi="Tahoma" w:cs="Tahoma"/>
          <w:sz w:val="20"/>
          <w:szCs w:val="20"/>
        </w:rPr>
        <w:t xml:space="preserve">. </w:t>
      </w:r>
    </w:p>
    <w:p w14:paraId="1B3153A3" w14:textId="77777777" w:rsidR="00BA14B6" w:rsidRPr="002B22D1" w:rsidRDefault="00BA14B6" w:rsidP="002772CD">
      <w:pPr>
        <w:pStyle w:val="OdstavecSmlouvy"/>
        <w:numPr>
          <w:ilvl w:val="0"/>
          <w:numId w:val="13"/>
        </w:numPr>
        <w:ind w:left="284" w:hanging="284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E62667C" w14:textId="77777777" w:rsidR="00BA14B6" w:rsidRPr="002B22D1" w:rsidRDefault="00BA14B6" w:rsidP="002772CD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14:paraId="6D0784E8" w14:textId="4E3E2CE0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482AD65" w14:textId="77777777" w:rsidR="00BA14B6" w:rsidRPr="002B22D1" w:rsidRDefault="00BA14B6" w:rsidP="002C1372">
      <w:pPr>
        <w:pStyle w:val="slolnkuSmlouvy"/>
        <w:pBdr>
          <w:top w:val="single" w:sz="4" w:space="1" w:color="auto"/>
          <w:bottom w:val="single" w:sz="4" w:space="1" w:color="auto"/>
        </w:pBdr>
        <w:spacing w:before="0" w:line="276" w:lineRule="auto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>Sankce vůči Rusku a Bělorusku</w:t>
      </w:r>
    </w:p>
    <w:p w14:paraId="49FBDC60" w14:textId="77777777" w:rsidR="000005DE" w:rsidRPr="00C71A20" w:rsidRDefault="000005DE" w:rsidP="002772CD">
      <w:pPr>
        <w:pStyle w:val="paragraph"/>
        <w:numPr>
          <w:ilvl w:val="0"/>
          <w:numId w:val="30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C71A20">
        <w:rPr>
          <w:rStyle w:val="eop"/>
          <w:rFonts w:ascii="Tahoma" w:hAnsi="Tahoma" w:cs="Tahoma"/>
          <w:sz w:val="18"/>
          <w:szCs w:val="22"/>
        </w:rPr>
        <w:t> </w:t>
      </w:r>
    </w:p>
    <w:p w14:paraId="5E4226FD" w14:textId="77777777" w:rsidR="000005DE" w:rsidRPr="00C71A20" w:rsidRDefault="000005DE" w:rsidP="002772CD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2ADEA921" w14:textId="77777777" w:rsidR="000005DE" w:rsidRPr="00C71A20" w:rsidRDefault="000005DE" w:rsidP="002772C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3B0B1C13" w14:textId="77777777" w:rsidR="000005DE" w:rsidRPr="00C71A20" w:rsidRDefault="000005DE" w:rsidP="002772C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3440CA83" w14:textId="77777777" w:rsidR="000005DE" w:rsidRPr="00C71A20" w:rsidRDefault="000005DE" w:rsidP="002772CD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34A5D39D" w14:textId="77777777" w:rsidR="000005DE" w:rsidRPr="00C71A20" w:rsidRDefault="000005DE" w:rsidP="000005DE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58B40793" w14:textId="77777777" w:rsidR="000005DE" w:rsidRPr="00C71A20" w:rsidRDefault="000005DE" w:rsidP="002772CD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0D936E91" w14:textId="77777777" w:rsidR="000005DE" w:rsidRPr="00C71A20" w:rsidRDefault="000005DE" w:rsidP="002772CD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6C05742F" w14:textId="77777777" w:rsidR="000005DE" w:rsidRPr="00C71A20" w:rsidRDefault="000005DE" w:rsidP="002772CD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2847222A" w14:textId="5C7825CF" w:rsidR="000005DE" w:rsidRPr="00C71A20" w:rsidRDefault="000005DE" w:rsidP="002772CD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lastRenderedPageBreak/>
        <w:t>Dojde-li k porušení pravidel dle odst. 1 a/nebo 2 této smlouvy, je prodávající povinen zaplatit kupu</w:t>
      </w:r>
      <w:r>
        <w:rPr>
          <w:rStyle w:val="normaltextrun"/>
          <w:rFonts w:ascii="Tahoma" w:hAnsi="Tahoma" w:cs="Tahoma"/>
          <w:sz w:val="20"/>
        </w:rPr>
        <w:t>jícímu smluvní pokutu ve výši 5</w:t>
      </w:r>
      <w:r w:rsidRPr="00C71A20">
        <w:rPr>
          <w:rStyle w:val="normaltextrun"/>
          <w:rFonts w:ascii="Tahoma" w:hAnsi="Tahoma" w:cs="Tahoma"/>
          <w:sz w:val="20"/>
        </w:rPr>
        <w:t>0.000 Kč, a to za každý jednotlivý případ porušení.</w:t>
      </w:r>
    </w:p>
    <w:p w14:paraId="4BED2970" w14:textId="507499F1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45B934A" w14:textId="77777777" w:rsidR="00BA14B6" w:rsidRPr="002B22D1" w:rsidRDefault="00BA14B6" w:rsidP="002C1372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>Registr smluv</w:t>
      </w:r>
    </w:p>
    <w:p w14:paraId="282E636A" w14:textId="77777777" w:rsidR="00BA14B6" w:rsidRPr="002B22D1" w:rsidRDefault="00BA14B6" w:rsidP="002772CD">
      <w:pPr>
        <w:pStyle w:val="Odstavecseseznamem"/>
        <w:numPr>
          <w:ilvl w:val="0"/>
          <w:numId w:val="27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2B22D1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16A891B5" w14:textId="77777777" w:rsidR="00BA14B6" w:rsidRPr="002B22D1" w:rsidRDefault="00BA14B6" w:rsidP="002772CD">
      <w:pPr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2B22D1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5BEA8912" w14:textId="77777777" w:rsidR="00BA14B6" w:rsidRPr="002B22D1" w:rsidRDefault="00BA14B6" w:rsidP="002772CD">
      <w:pPr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2B22D1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4F9959D8" w14:textId="30F2AA7F" w:rsidR="00BA14B6" w:rsidRPr="002B22D1" w:rsidRDefault="00BA14B6" w:rsidP="002772CD">
      <w:pPr>
        <w:pStyle w:val="Odstavecseseznamem"/>
        <w:numPr>
          <w:ilvl w:val="0"/>
          <w:numId w:val="27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2B22D1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2B22D1">
        <w:rPr>
          <w:rFonts w:ascii="Tahoma" w:hAnsi="Tahoma" w:cs="Tahoma"/>
          <w:sz w:val="20"/>
          <w:szCs w:val="20"/>
        </w:rPr>
        <w:t>podmínkách</w:t>
      </w:r>
      <w:r w:rsidRPr="002B22D1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FBDCCAE" w14:textId="1EF260F3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F620168" w14:textId="77777777" w:rsidR="00BA14B6" w:rsidRPr="002B22D1" w:rsidRDefault="00BA14B6" w:rsidP="002C1372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>Zánik smlouvy</w:t>
      </w:r>
    </w:p>
    <w:p w14:paraId="2DDCD696" w14:textId="77777777" w:rsidR="00BA14B6" w:rsidRPr="002B22D1" w:rsidRDefault="00BA14B6" w:rsidP="002772CD">
      <w:pPr>
        <w:pStyle w:val="Odstavecseseznamem"/>
        <w:numPr>
          <w:ilvl w:val="3"/>
          <w:numId w:val="15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Tato smlouva zaniká:</w:t>
      </w:r>
    </w:p>
    <w:p w14:paraId="0C21103D" w14:textId="77777777" w:rsidR="00BA14B6" w:rsidRPr="002B22D1" w:rsidRDefault="00BA14B6" w:rsidP="002772CD">
      <w:pPr>
        <w:pStyle w:val="Import3"/>
        <w:numPr>
          <w:ilvl w:val="0"/>
          <w:numId w:val="9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písemnou dohodou smluvních stran,</w:t>
      </w:r>
    </w:p>
    <w:p w14:paraId="6B789C2B" w14:textId="77777777" w:rsidR="00BA14B6" w:rsidRPr="002B22D1" w:rsidRDefault="00BA14B6" w:rsidP="002772CD">
      <w:pPr>
        <w:pStyle w:val="Import5"/>
        <w:numPr>
          <w:ilvl w:val="0"/>
          <w:numId w:val="9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D0C1DAD" w14:textId="77777777" w:rsidR="00BA14B6" w:rsidRPr="002B22D1" w:rsidRDefault="00BA14B6" w:rsidP="002772CD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24DB39A9" w14:textId="77777777" w:rsidR="00BA14B6" w:rsidRPr="002B22D1" w:rsidRDefault="00BA14B6" w:rsidP="002772CD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14:paraId="093FCAA3" w14:textId="77777777" w:rsidR="00BA14B6" w:rsidRPr="002B22D1" w:rsidRDefault="00BA14B6" w:rsidP="002772CD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14:paraId="6F4D7234" w14:textId="08D020D8" w:rsidR="00BA14B6" w:rsidRPr="002B22D1" w:rsidRDefault="00BA14B6" w:rsidP="002772CD">
      <w:pPr>
        <w:pStyle w:val="Import5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09232E6E" w14:textId="77777777" w:rsidR="00BA14B6" w:rsidRPr="002B22D1" w:rsidRDefault="00BA14B6" w:rsidP="002772CD">
      <w:pPr>
        <w:widowControl/>
        <w:numPr>
          <w:ilvl w:val="3"/>
          <w:numId w:val="15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25B8D70D" w14:textId="77777777" w:rsidR="00BA14B6" w:rsidRPr="002B22D1" w:rsidRDefault="00BA14B6" w:rsidP="002772CD">
      <w:pPr>
        <w:numPr>
          <w:ilvl w:val="0"/>
          <w:numId w:val="21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14:paraId="3F1EE431" w14:textId="77777777" w:rsidR="00BA14B6" w:rsidRPr="002B22D1" w:rsidRDefault="00BA14B6" w:rsidP="002772CD">
      <w:pPr>
        <w:widowControl/>
        <w:numPr>
          <w:ilvl w:val="0"/>
          <w:numId w:val="21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F24F6CE" w14:textId="77777777" w:rsidR="00BA14B6" w:rsidRPr="002B22D1" w:rsidRDefault="00BA14B6" w:rsidP="002772CD">
      <w:pPr>
        <w:widowControl/>
        <w:numPr>
          <w:ilvl w:val="3"/>
          <w:numId w:val="15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Odstoupením</w:t>
      </w:r>
      <w:r w:rsidRPr="002B22D1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3DF6284A" w14:textId="45AC4B40" w:rsidR="00BD7519" w:rsidRDefault="00BA14B6" w:rsidP="002772CD">
      <w:pPr>
        <w:widowControl/>
        <w:numPr>
          <w:ilvl w:val="3"/>
          <w:numId w:val="15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7DCFC212" w14:textId="54D78809" w:rsidR="000005DE" w:rsidRDefault="000005DE">
      <w:pPr>
        <w:widowControl/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7746FA8" w14:textId="3B91F83E" w:rsidR="00BA14B6" w:rsidRPr="002B22D1" w:rsidRDefault="00BA14B6" w:rsidP="002772CD">
      <w:pPr>
        <w:pStyle w:val="Odstavecseseznamem"/>
        <w:numPr>
          <w:ilvl w:val="0"/>
          <w:numId w:val="7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1F974FA0" w14:textId="77777777" w:rsidR="00BA14B6" w:rsidRPr="002B22D1" w:rsidRDefault="00BA14B6" w:rsidP="002C1372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2B22D1">
        <w:rPr>
          <w:rFonts w:ascii="Tahoma" w:hAnsi="Tahoma" w:cs="Tahoma"/>
          <w:sz w:val="20"/>
        </w:rPr>
        <w:t>Závěrečná ustanovení</w:t>
      </w:r>
    </w:p>
    <w:p w14:paraId="7AC037F4" w14:textId="15B24893" w:rsidR="006E4023" w:rsidRPr="002B22D1" w:rsidRDefault="006E4023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Tato smlouva nabývá platnosti a 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3B2F974F" w14:textId="77777777" w:rsidR="006E4023" w:rsidRPr="002B22D1" w:rsidRDefault="006E4023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BCC7B5B" w14:textId="77777777" w:rsidR="006E4023" w:rsidRPr="002B22D1" w:rsidRDefault="006E4023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5EA51ABD" w14:textId="77777777" w:rsidR="006E4023" w:rsidRPr="002B22D1" w:rsidRDefault="006E4023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7EFFA5D7" w14:textId="77777777" w:rsidR="006E4023" w:rsidRPr="002B22D1" w:rsidRDefault="006E4023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8" w:name="_Hlk82416905"/>
      <w:r w:rsidRPr="002B22D1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bookmarkEnd w:id="8"/>
    <w:p w14:paraId="308A1980" w14:textId="677075DA" w:rsidR="006E4023" w:rsidRPr="002B22D1" w:rsidRDefault="006E4023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Prodávající je povinen minimálně do konce roku 203</w:t>
      </w:r>
      <w:r w:rsidR="003A11D1" w:rsidRPr="002B22D1">
        <w:rPr>
          <w:rFonts w:ascii="Tahoma" w:hAnsi="Tahoma" w:cs="Tahoma"/>
          <w:sz w:val="20"/>
          <w:szCs w:val="20"/>
        </w:rPr>
        <w:t>5</w:t>
      </w:r>
      <w:r w:rsidRPr="002B22D1">
        <w:rPr>
          <w:rFonts w:ascii="Tahoma" w:hAnsi="Tahoma" w:cs="Tahoma"/>
          <w:sz w:val="20"/>
          <w:szCs w:val="20"/>
        </w:rPr>
        <w:t xml:space="preserve"> poskytovat požadované informace a dokumentaci souvisejícím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potřebnou součinnost.</w:t>
      </w:r>
    </w:p>
    <w:p w14:paraId="65CD96AA" w14:textId="77777777" w:rsidR="00BA14B6" w:rsidRPr="002B22D1" w:rsidRDefault="00BA14B6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Smluvní strany se zavazují, že údaje vyplývající z předmětu plnění podle této smlouvy, neposkytnou třetí straně, s výjimkou kontrolních orgánů, auditorů a případného soudního řízení.</w:t>
      </w:r>
    </w:p>
    <w:p w14:paraId="1B19D63F" w14:textId="77777777" w:rsidR="00BA14B6" w:rsidRPr="002B22D1" w:rsidRDefault="00BA14B6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294F6FD4" w14:textId="77777777" w:rsidR="00A26BCA" w:rsidRPr="005A0214" w:rsidRDefault="00A26BCA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Osobní údaje obsažené v této smlouvě budou kupujícím zpracovávány pouze pro účely plnění práv a 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8" w:history="1">
        <w:r w:rsidRPr="005A0214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Pr="005A0214">
        <w:rPr>
          <w:rFonts w:ascii="Tahoma" w:hAnsi="Tahoma" w:cs="Tahoma"/>
          <w:sz w:val="20"/>
          <w:szCs w:val="20"/>
        </w:rPr>
        <w:t>.</w:t>
      </w:r>
    </w:p>
    <w:p w14:paraId="493CE43C" w14:textId="5C5EC512" w:rsidR="00BA14B6" w:rsidRPr="002B22D1" w:rsidRDefault="000005DE" w:rsidP="002772CD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BA14B6" w:rsidRPr="002B22D1">
        <w:rPr>
          <w:rFonts w:ascii="Tahoma" w:hAnsi="Tahoma" w:cs="Tahoma"/>
          <w:sz w:val="20"/>
          <w:szCs w:val="20"/>
        </w:rPr>
        <w:t>:</w:t>
      </w:r>
    </w:p>
    <w:p w14:paraId="400CB839" w14:textId="77777777" w:rsidR="00BA14B6" w:rsidRPr="002B22D1" w:rsidRDefault="00BA14B6" w:rsidP="002C1372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3044829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1E88A491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V </w:t>
      </w:r>
      <w:r w:rsidR="00514DAB" w:rsidRPr="002B22D1">
        <w:rPr>
          <w:rFonts w:ascii="Tahoma" w:hAnsi="Tahoma" w:cs="Tahoma"/>
          <w:sz w:val="20"/>
          <w:szCs w:val="20"/>
        </w:rPr>
        <w:t>Krno</w:t>
      </w:r>
      <w:r w:rsidRPr="002B22D1">
        <w:rPr>
          <w:rFonts w:ascii="Tahoma" w:hAnsi="Tahoma" w:cs="Tahoma"/>
          <w:sz w:val="20"/>
          <w:szCs w:val="20"/>
        </w:rPr>
        <w:t>vě</w:t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  <w:t xml:space="preserve">V </w:t>
      </w:r>
      <w:r w:rsidR="001A66BD">
        <w:rPr>
          <w:rFonts w:ascii="Tahoma" w:hAnsi="Tahoma" w:cs="Tahoma"/>
          <w:sz w:val="20"/>
          <w:szCs w:val="20"/>
        </w:rPr>
        <w:t>Praze</w:t>
      </w:r>
    </w:p>
    <w:p w14:paraId="41F18FD9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B2859C3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087731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DD15544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________________________________</w:t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  <w:t>_________________________</w:t>
      </w:r>
    </w:p>
    <w:p w14:paraId="6E4EBB8A" w14:textId="4D0FB27B" w:rsidR="00BA14B6" w:rsidRPr="002B22D1" w:rsidRDefault="00514DAB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MUDr. Ladislav Václavec, MBA</w:t>
      </w:r>
      <w:r w:rsidR="00BA14B6" w:rsidRPr="002B22D1">
        <w:rPr>
          <w:rFonts w:ascii="Tahoma" w:hAnsi="Tahoma" w:cs="Tahoma"/>
          <w:sz w:val="20"/>
          <w:szCs w:val="20"/>
        </w:rPr>
        <w:t>, ředitel</w:t>
      </w:r>
      <w:r w:rsidR="00BA14B6" w:rsidRPr="002B22D1">
        <w:rPr>
          <w:rFonts w:ascii="Tahoma" w:hAnsi="Tahoma" w:cs="Tahoma"/>
          <w:sz w:val="20"/>
          <w:szCs w:val="20"/>
        </w:rPr>
        <w:tab/>
      </w:r>
      <w:r w:rsidR="00BA14B6" w:rsidRPr="002B22D1">
        <w:rPr>
          <w:rFonts w:ascii="Tahoma" w:hAnsi="Tahoma" w:cs="Tahoma"/>
          <w:sz w:val="20"/>
          <w:szCs w:val="20"/>
        </w:rPr>
        <w:tab/>
      </w:r>
      <w:r w:rsidR="00BA14B6" w:rsidRPr="002B22D1">
        <w:rPr>
          <w:rFonts w:ascii="Tahoma" w:hAnsi="Tahoma" w:cs="Tahoma"/>
          <w:sz w:val="20"/>
          <w:szCs w:val="20"/>
        </w:rPr>
        <w:tab/>
      </w:r>
      <w:r w:rsidR="00BA14B6" w:rsidRPr="002B22D1">
        <w:rPr>
          <w:rFonts w:ascii="Tahoma" w:hAnsi="Tahoma" w:cs="Tahoma"/>
          <w:sz w:val="20"/>
          <w:szCs w:val="20"/>
        </w:rPr>
        <w:tab/>
      </w:r>
      <w:r w:rsidR="00C42983">
        <w:rPr>
          <w:rFonts w:ascii="Tahoma" w:hAnsi="Tahoma" w:cs="Tahoma"/>
          <w:sz w:val="20"/>
          <w:szCs w:val="20"/>
        </w:rPr>
        <w:t>Ing. Ludvík Tót, jednatel</w:t>
      </w:r>
      <w:r w:rsidR="00BA14B6" w:rsidRPr="002B22D1">
        <w:rPr>
          <w:rFonts w:ascii="Tahoma" w:hAnsi="Tahoma" w:cs="Tahoma"/>
          <w:sz w:val="20"/>
          <w:szCs w:val="20"/>
        </w:rPr>
        <w:tab/>
      </w:r>
      <w:r w:rsidR="00BA14B6" w:rsidRPr="002B22D1">
        <w:rPr>
          <w:rFonts w:ascii="Tahoma" w:hAnsi="Tahoma" w:cs="Tahoma"/>
          <w:sz w:val="20"/>
          <w:szCs w:val="20"/>
        </w:rPr>
        <w:tab/>
      </w:r>
    </w:p>
    <w:p w14:paraId="5D7D8176" w14:textId="77777777" w:rsidR="00BA14B6" w:rsidRPr="002B22D1" w:rsidRDefault="00BA14B6" w:rsidP="002C13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22D1">
        <w:rPr>
          <w:rFonts w:ascii="Tahoma" w:hAnsi="Tahoma" w:cs="Tahoma"/>
          <w:sz w:val="20"/>
          <w:szCs w:val="20"/>
        </w:rPr>
        <w:t>za kupujícího</w:t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</w:r>
      <w:r w:rsidRPr="002B22D1">
        <w:rPr>
          <w:rFonts w:ascii="Tahoma" w:hAnsi="Tahoma" w:cs="Tahoma"/>
          <w:sz w:val="20"/>
          <w:szCs w:val="20"/>
        </w:rPr>
        <w:tab/>
        <w:t>za prodávajícího</w:t>
      </w:r>
    </w:p>
    <w:p w14:paraId="4B62225F" w14:textId="7B9177D4" w:rsidR="00BD7519" w:rsidRPr="00604BBC" w:rsidRDefault="00BA14B6" w:rsidP="00604BBC">
      <w:pPr>
        <w:spacing w:after="120" w:line="276" w:lineRule="auto"/>
        <w:rPr>
          <w:rFonts w:ascii="Tahoma" w:hAnsi="Tahoma" w:cs="Tahoma"/>
          <w:b/>
          <w:iCs/>
          <w:sz w:val="20"/>
          <w:szCs w:val="20"/>
          <w:u w:val="single"/>
        </w:rPr>
      </w:pPr>
      <w:r w:rsidRPr="002B22D1">
        <w:rPr>
          <w:rFonts w:ascii="Tahoma" w:hAnsi="Tahoma" w:cs="Tahoma"/>
          <w:b/>
          <w:iCs/>
          <w:sz w:val="20"/>
          <w:szCs w:val="20"/>
        </w:rPr>
        <w:br w:type="page"/>
      </w:r>
      <w:r w:rsidRPr="002B22D1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>Příloha č. 1</w:t>
      </w:r>
      <w:r w:rsidR="00092580" w:rsidRPr="002B22D1">
        <w:rPr>
          <w:rFonts w:ascii="Tahoma" w:hAnsi="Tahoma" w:cs="Tahoma"/>
          <w:b/>
          <w:iCs/>
          <w:sz w:val="20"/>
          <w:szCs w:val="20"/>
          <w:u w:val="single"/>
        </w:rPr>
        <w:t xml:space="preserve"> – Specifikace</w:t>
      </w:r>
      <w:r w:rsidRPr="002B22D1">
        <w:rPr>
          <w:rFonts w:ascii="Tahoma" w:hAnsi="Tahoma" w:cs="Tahoma"/>
          <w:b/>
          <w:iCs/>
          <w:sz w:val="20"/>
          <w:szCs w:val="20"/>
          <w:u w:val="single"/>
        </w:rPr>
        <w:t xml:space="preserve"> předmět</w:t>
      </w:r>
      <w:r w:rsidR="00092580" w:rsidRPr="002B22D1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2B22D1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528A6542" w14:textId="77777777" w:rsidR="00437B43" w:rsidRDefault="00437B43" w:rsidP="00437B43">
      <w:pPr>
        <w:pStyle w:val="Default"/>
        <w:rPr>
          <w:b/>
          <w:bCs/>
          <w:sz w:val="36"/>
          <w:szCs w:val="36"/>
        </w:rPr>
      </w:pPr>
      <w:r w:rsidRPr="00F364EF">
        <w:rPr>
          <w:b/>
          <w:bCs/>
          <w:sz w:val="36"/>
          <w:szCs w:val="36"/>
        </w:rPr>
        <w:t xml:space="preserve">Philips </w:t>
      </w:r>
      <w:proofErr w:type="spellStart"/>
      <w:r w:rsidRPr="00F364EF">
        <w:rPr>
          <w:b/>
          <w:bCs/>
          <w:sz w:val="36"/>
          <w:szCs w:val="36"/>
        </w:rPr>
        <w:t>Efficia</w:t>
      </w:r>
      <w:proofErr w:type="spellEnd"/>
      <w:r w:rsidRPr="00F364EF">
        <w:rPr>
          <w:b/>
          <w:bCs/>
          <w:sz w:val="36"/>
          <w:szCs w:val="36"/>
        </w:rPr>
        <w:t xml:space="preserve"> DFM100 - defibrilátor / monitor </w:t>
      </w:r>
    </w:p>
    <w:p w14:paraId="225B8632" w14:textId="77777777" w:rsidR="00437B43" w:rsidRDefault="00437B43" w:rsidP="00437B43">
      <w:pPr>
        <w:pStyle w:val="Default"/>
        <w:rPr>
          <w:b/>
          <w:bCs/>
          <w:sz w:val="36"/>
          <w:szCs w:val="36"/>
        </w:rPr>
      </w:pPr>
    </w:p>
    <w:p w14:paraId="2C37F140" w14:textId="33440C1B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Přenosný </w:t>
      </w:r>
      <w:proofErr w:type="spellStart"/>
      <w:r w:rsidR="00437B43" w:rsidRPr="00437B43">
        <w:rPr>
          <w:rFonts w:asciiTheme="minorHAnsi" w:hAnsiTheme="minorHAnsi" w:cstheme="minorHAnsi"/>
          <w:sz w:val="22"/>
          <w:szCs w:val="22"/>
        </w:rPr>
        <w:t>bifázický</w:t>
      </w:r>
      <w:proofErr w:type="spellEnd"/>
      <w:r w:rsidR="00437B43" w:rsidRPr="00437B43">
        <w:rPr>
          <w:rFonts w:asciiTheme="minorHAnsi" w:hAnsiTheme="minorHAnsi" w:cstheme="minorHAnsi"/>
          <w:sz w:val="22"/>
          <w:szCs w:val="22"/>
        </w:rPr>
        <w:t xml:space="preserve"> defibrilátor/monitor  s automatickou kompenzací výboje dle impedance pacienta</w:t>
      </w:r>
    </w:p>
    <w:p w14:paraId="792EE9DB" w14:textId="45552708" w:rsidR="00437B43" w:rsidRPr="00437B43" w:rsidRDefault="00604BBC" w:rsidP="00437B43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Ovládání a software v českém jazyce</w:t>
      </w:r>
    </w:p>
    <w:p w14:paraId="17CE6CF3" w14:textId="130F9D2B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7“ barevný LCD displej se zobrazením 3 křivek, numerických hodnot a alarmových hlášení s dobrou viditelností i při zhoršených světelných podmínkách</w:t>
      </w:r>
    </w:p>
    <w:p w14:paraId="65365974" w14:textId="2BD43CB0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Rozměry přístroje: výška 23,5 cm, šířka 29,0 cm, hloubka 20,5 cm </w:t>
      </w:r>
    </w:p>
    <w:p w14:paraId="7112934D" w14:textId="77073486" w:rsidR="00437B43" w:rsidRPr="00437B43" w:rsidRDefault="00604BBC" w:rsidP="00437B43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Hmotnost: 7 kg včetně baterie, role papíru a defibrilačních elektrod (pádel)</w:t>
      </w:r>
    </w:p>
    <w:p w14:paraId="70A9DAD8" w14:textId="4EA72E34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Ovládání pomocí otočného knoflíku </w:t>
      </w:r>
    </w:p>
    <w:p w14:paraId="3F3D83A2" w14:textId="4C4D31D2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Jednoduché 3 kroky použití: 1. Výběr energie, 2. Stisknutí nabíjení, 3. Podání výboje </w:t>
      </w:r>
    </w:p>
    <w:p w14:paraId="35EFBEBC" w14:textId="6F7342EF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Volba energie již od 1 do 200 J ve </w:t>
      </w:r>
      <w:proofErr w:type="gramStart"/>
      <w:r w:rsidR="00437B43" w:rsidRPr="00437B43">
        <w:rPr>
          <w:rFonts w:asciiTheme="minorHAnsi" w:hAnsiTheme="minorHAnsi" w:cstheme="minorHAnsi"/>
          <w:sz w:val="22"/>
          <w:szCs w:val="22"/>
        </w:rPr>
        <w:t>20-ti</w:t>
      </w:r>
      <w:proofErr w:type="gramEnd"/>
      <w:r w:rsidR="00437B43" w:rsidRPr="00437B43">
        <w:rPr>
          <w:rFonts w:asciiTheme="minorHAnsi" w:hAnsiTheme="minorHAnsi" w:cstheme="minorHAnsi"/>
          <w:sz w:val="22"/>
          <w:szCs w:val="22"/>
        </w:rPr>
        <w:t xml:space="preserve"> krocích</w:t>
      </w:r>
    </w:p>
    <w:p w14:paraId="497506D1" w14:textId="056C6596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Manuální i automatický režim defibrilace </w:t>
      </w:r>
    </w:p>
    <w:p w14:paraId="29935592" w14:textId="7FB2B043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Synchronizovaná </w:t>
      </w:r>
      <w:proofErr w:type="spellStart"/>
      <w:r w:rsidR="00437B43" w:rsidRPr="00437B43">
        <w:rPr>
          <w:rFonts w:asciiTheme="minorHAnsi" w:hAnsiTheme="minorHAnsi" w:cstheme="minorHAnsi"/>
          <w:sz w:val="22"/>
          <w:szCs w:val="22"/>
        </w:rPr>
        <w:t>kardioverze</w:t>
      </w:r>
      <w:proofErr w:type="spellEnd"/>
      <w:r w:rsidR="00437B43" w:rsidRPr="00437B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68D1F" w14:textId="64136C4C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Monitorace EKG (3 nebo 5 svody) včetně nastavitelných alarmů </w:t>
      </w:r>
    </w:p>
    <w:p w14:paraId="71A091E2" w14:textId="57EEFA9E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Externí defibrilační elektrody s indikátorem kontaktu s tělem pacienta a s integrovanými defibrilačními elektrodami pro děti (2 velikosti – dospělí a děti) </w:t>
      </w:r>
    </w:p>
    <w:p w14:paraId="38099113" w14:textId="1B344BF3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Automatické testy připravenosti prováděné každou hodinu, každý den a každý týden - Indikátor použitelnosti </w:t>
      </w:r>
    </w:p>
    <w:p w14:paraId="620F570C" w14:textId="622B39A8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Integrovaný zapisovač (50 mm šíře papíru) s tiskem: přehledu událostí, sumáře úkonů, trendů vitálních funkcí, provozní kontroly, stavového protokolu</w:t>
      </w:r>
    </w:p>
    <w:p w14:paraId="22A5FBBA" w14:textId="051D4CD2" w:rsidR="00437B43" w:rsidRPr="00437B43" w:rsidRDefault="00604BBC" w:rsidP="00437B43">
      <w:pPr>
        <w:pStyle w:val="Odstavecseseznamem1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 - </w:t>
      </w:r>
      <w:r w:rsidR="00437B43" w:rsidRPr="00437B43">
        <w:rPr>
          <w:rFonts w:asciiTheme="minorHAnsi" w:hAnsiTheme="minorHAnsi" w:cstheme="minorHAnsi"/>
        </w:rPr>
        <w:t>Režim výpisu kritických událostí od doby zapnutí</w:t>
      </w:r>
    </w:p>
    <w:p w14:paraId="018B5CB4" w14:textId="769B616B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Rychlé nabití na maximální energii přístroje do 6s</w:t>
      </w:r>
    </w:p>
    <w:p w14:paraId="5A7003BC" w14:textId="30AC8D5D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Kapacita baterie: 100 výbojů (200J) nebo 2,5 hodiny plného monitoringu pacienta nebo 2 hodiny </w:t>
      </w:r>
      <w:proofErr w:type="spellStart"/>
      <w:r w:rsidR="00437B43" w:rsidRPr="00437B43">
        <w:rPr>
          <w:rFonts w:asciiTheme="minorHAnsi" w:hAnsiTheme="minorHAnsi" w:cstheme="minorHAnsi"/>
          <w:sz w:val="22"/>
          <w:szCs w:val="22"/>
        </w:rPr>
        <w:t>kardiostimulace</w:t>
      </w:r>
      <w:proofErr w:type="spellEnd"/>
      <w:r w:rsidR="00437B43" w:rsidRPr="00437B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C32CB" w14:textId="617B89FC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Typ baterie: dobíjitelná lithium ion, zobrazení její kapacity na display a zároveň přímo na baterii</w:t>
      </w:r>
    </w:p>
    <w:p w14:paraId="04455F7B" w14:textId="096CC94F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Nabíjení baterie přímo v přístroji – LED kontrolka na předním panelu </w:t>
      </w:r>
    </w:p>
    <w:p w14:paraId="746C9AF7" w14:textId="3F7FF29E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 xml:space="preserve">Doba nabíjení baterie na 100 % kapacitu z úplného vybití max. 3 hodiny </w:t>
      </w:r>
    </w:p>
    <w:p w14:paraId="7159833E" w14:textId="6FFC36A8" w:rsidR="00437B43" w:rsidRPr="00437B43" w:rsidRDefault="00604BBC" w:rsidP="00437B43">
      <w:pPr>
        <w:pStyle w:val="Odstavecseseznamem1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 - </w:t>
      </w:r>
      <w:r w:rsidR="00437B43" w:rsidRPr="00437B43">
        <w:rPr>
          <w:rFonts w:asciiTheme="minorHAnsi" w:hAnsiTheme="minorHAnsi" w:cstheme="minorHAnsi"/>
        </w:rPr>
        <w:t>Provoz z elektrické sítě i baterie, zobrazení indikátoru stavu akumulátoru na obrazovce přístroje</w:t>
      </w:r>
    </w:p>
    <w:p w14:paraId="66403E15" w14:textId="0DF349C7" w:rsidR="00437B43" w:rsidRPr="00437B43" w:rsidRDefault="00604BBC" w:rsidP="00437B43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Uchování pacientských údajů za dobu 8 hodin</w:t>
      </w:r>
    </w:p>
    <w:p w14:paraId="0027FB93" w14:textId="50109D5A" w:rsidR="00437B43" w:rsidRPr="00437B43" w:rsidRDefault="00604BBC" w:rsidP="00437B43">
      <w:pPr>
        <w:pStyle w:val="Odstavecseseznamem1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 - </w:t>
      </w:r>
      <w:r w:rsidR="00437B43" w:rsidRPr="00437B43">
        <w:rPr>
          <w:rFonts w:asciiTheme="minorHAnsi" w:hAnsiTheme="minorHAnsi" w:cstheme="minorHAnsi"/>
        </w:rPr>
        <w:t>Možnost uložení, přenosu a archivace dat do PC</w:t>
      </w:r>
    </w:p>
    <w:p w14:paraId="499AA191" w14:textId="6A326246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Ochrana před prachem a vodou IP54</w:t>
      </w:r>
    </w:p>
    <w:p w14:paraId="7A04C9CD" w14:textId="5AE81A3C" w:rsidR="00437B43" w:rsidRPr="00437B43" w:rsidRDefault="00604BBC" w:rsidP="00437B43">
      <w:pPr>
        <w:pStyle w:val="Default"/>
        <w:numPr>
          <w:ilvl w:val="0"/>
          <w:numId w:val="38"/>
        </w:numPr>
        <w:spacing w:after="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 - </w:t>
      </w:r>
      <w:r w:rsidR="00437B43" w:rsidRPr="00437B43">
        <w:rPr>
          <w:rFonts w:asciiTheme="minorHAnsi" w:hAnsiTheme="minorHAnsi" w:cstheme="minorHAnsi"/>
          <w:sz w:val="22"/>
          <w:szCs w:val="22"/>
        </w:rPr>
        <w:t>Umístění na pojízdném stolku s policí na defibrilátor a další policí</w:t>
      </w:r>
    </w:p>
    <w:p w14:paraId="00DDCFAB" w14:textId="47FD4EC6" w:rsidR="00437B43" w:rsidRPr="00437B43" w:rsidRDefault="00604BBC" w:rsidP="00437B43">
      <w:pPr>
        <w:pStyle w:val="Odstavecseseznamem1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ANO - </w:t>
      </w:r>
      <w:r w:rsidR="00437B43" w:rsidRPr="00437B43">
        <w:rPr>
          <w:rFonts w:asciiTheme="minorHAnsi" w:hAnsiTheme="minorHAnsi" w:cstheme="minorHAnsi"/>
        </w:rPr>
        <w:t>Multifunkční elektrody pro defibrilaci, stimulaci a snímání EKG pomocí jedné sady elektrod</w:t>
      </w:r>
    </w:p>
    <w:p w14:paraId="526F2985" w14:textId="77777777" w:rsidR="00437B43" w:rsidRDefault="00437B43" w:rsidP="00437B43">
      <w:pPr>
        <w:pStyle w:val="Odstavecseseznamem"/>
        <w:autoSpaceDE w:val="0"/>
        <w:autoSpaceDN w:val="0"/>
        <w:contextualSpacing w:val="0"/>
        <w:rPr>
          <w:b/>
          <w:bCs/>
          <w:u w:val="single"/>
        </w:rPr>
      </w:pPr>
    </w:p>
    <w:p w14:paraId="094B35B2" w14:textId="156B2B20" w:rsidR="00BA14B6" w:rsidRPr="002B22D1" w:rsidRDefault="00BA14B6" w:rsidP="002C1372">
      <w:pPr>
        <w:pStyle w:val="Styl-normln-slo-odsazen"/>
        <w:tabs>
          <w:tab w:val="clear" w:pos="720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sectPr w:rsidR="00BA14B6" w:rsidRPr="002B22D1" w:rsidSect="007C64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262A" w14:textId="77777777" w:rsidR="00C51F7B" w:rsidRPr="00BD54F8" w:rsidRDefault="00C51F7B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441ADBB8" w14:textId="77777777" w:rsidR="00C51F7B" w:rsidRPr="00BD54F8" w:rsidRDefault="00C51F7B">
      <w:pPr>
        <w:rPr>
          <w:sz w:val="22"/>
          <w:szCs w:val="22"/>
        </w:rPr>
      </w:pPr>
    </w:p>
  </w:endnote>
  <w:endnote w:type="continuationSeparator" w:id="0">
    <w:p w14:paraId="2B4CD29E" w14:textId="77777777" w:rsidR="00C51F7B" w:rsidRPr="00BD54F8" w:rsidRDefault="00C51F7B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3D38C3D3" w14:textId="77777777" w:rsidR="00C51F7B" w:rsidRPr="00BD54F8" w:rsidRDefault="00C51F7B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C51F7B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6" style="width:0;height:1.5pt" o:hralign="center" o:hrstd="t" o:hr="t" fillcolor="#a0a0a0" stroked="f"/>
      </w:pict>
    </w:r>
  </w:p>
  <w:p w14:paraId="0CFEF295" w14:textId="4B8926CD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4115E3">
      <w:rPr>
        <w:rFonts w:ascii="Tahoma" w:hAnsi="Tahoma" w:cs="Tahoma"/>
        <w:b/>
        <w:noProof/>
        <w:sz w:val="18"/>
        <w:szCs w:val="18"/>
      </w:rPr>
      <w:t>8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4115E3">
      <w:rPr>
        <w:rFonts w:ascii="Tahoma" w:hAnsi="Tahoma" w:cs="Tahoma"/>
        <w:b/>
        <w:noProof/>
        <w:sz w:val="18"/>
        <w:szCs w:val="18"/>
      </w:rPr>
      <w:t>11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77777777" w:rsidR="007C6403" w:rsidRDefault="007C6403" w:rsidP="007C640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KRN/FMP/2024/09/přístrojové vybavení – M. Al-</w:t>
    </w:r>
    <w:proofErr w:type="spellStart"/>
    <w:r w:rsidRPr="007C6403">
      <w:rPr>
        <w:rFonts w:ascii="Tahoma" w:hAnsi="Tahoma" w:cs="Tahoma"/>
        <w:kern w:val="2"/>
        <w:sz w:val="18"/>
        <w:szCs w:val="18"/>
        <w14:ligatures w14:val="standardContextual"/>
      </w:rPr>
      <w:t>ce</w:t>
    </w:r>
    <w:proofErr w:type="spellEnd"/>
  </w:p>
  <w:p w14:paraId="2BACEE9C" w14:textId="6A68416D" w:rsidR="00925297" w:rsidRPr="00BD54F8" w:rsidRDefault="007C6403" w:rsidP="000C1C02">
    <w:pPr>
      <w:pStyle w:val="Zpat"/>
      <w:jc w:val="center"/>
      <w:rPr>
        <w:rFonts w:ascii="Tahoma" w:hAnsi="Tahoma" w:cs="Tahoma"/>
        <w:sz w:val="18"/>
        <w:szCs w:val="18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EE6C2D">
      <w:rPr>
        <w:rFonts w:ascii="Tahoma" w:hAnsi="Tahoma" w:cs="Tahoma"/>
        <w:kern w:val="2"/>
        <w:sz w:val="18"/>
        <w:szCs w:val="18"/>
        <w14:ligatures w14:val="standardContextual"/>
      </w:rPr>
      <w:t>3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EE6C2D">
      <w:rPr>
        <w:rFonts w:ascii="Tahoma" w:hAnsi="Tahoma" w:cs="Tahoma"/>
        <w:kern w:val="2"/>
        <w:sz w:val="18"/>
        <w:szCs w:val="18"/>
        <w14:ligatures w14:val="standardContextual"/>
      </w:rPr>
      <w:t>– Defibrilátor s resuscitačním vozíkem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82A0" w14:textId="77777777" w:rsidR="00C51F7B" w:rsidRPr="00BD54F8" w:rsidRDefault="00C51F7B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2B0814C9" w14:textId="77777777" w:rsidR="00C51F7B" w:rsidRPr="00BD54F8" w:rsidRDefault="00C51F7B">
      <w:pPr>
        <w:rPr>
          <w:sz w:val="22"/>
          <w:szCs w:val="22"/>
        </w:rPr>
      </w:pPr>
    </w:p>
  </w:footnote>
  <w:footnote w:type="continuationSeparator" w:id="0">
    <w:p w14:paraId="02C782DD" w14:textId="77777777" w:rsidR="00C51F7B" w:rsidRPr="00BD54F8" w:rsidRDefault="00C51F7B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3AF3FBE0" w14:textId="77777777" w:rsidR="00C51F7B" w:rsidRPr="00BD54F8" w:rsidRDefault="00C51F7B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9D14" w14:textId="42640601" w:rsidR="00A36233" w:rsidRPr="00193815" w:rsidRDefault="00A362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 w:rsidR="00B80631">
      <w:rPr>
        <w:b/>
        <w:sz w:val="16"/>
        <w:szCs w:val="16"/>
      </w:rPr>
      <w:t>3</w:t>
    </w:r>
    <w:r w:rsidRPr="00193815">
      <w:rPr>
        <w:sz w:val="16"/>
        <w:szCs w:val="16"/>
      </w:rPr>
      <w:t xml:space="preserve"> – Zad</w:t>
    </w:r>
    <w:r w:rsidR="00E356A1">
      <w:rPr>
        <w:sz w:val="16"/>
        <w:szCs w:val="16"/>
      </w:rPr>
      <w:t>ávací dokumentace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  <w:t>Zadavatel:</w:t>
    </w:r>
  </w:p>
  <w:p w14:paraId="161AE687" w14:textId="14B26832" w:rsidR="00A36233" w:rsidRPr="00193815" w:rsidRDefault="007C640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</w:t>
    </w:r>
    <w:r w:rsidR="00E356A1">
      <w:rPr>
        <w:sz w:val="16"/>
        <w:szCs w:val="16"/>
      </w:rPr>
      <w:t xml:space="preserve"> smlouva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>
      <w:rPr>
        <w:sz w:val="16"/>
        <w:szCs w:val="16"/>
      </w:rPr>
      <w:tab/>
    </w:r>
    <w:r w:rsidR="00A36233" w:rsidRPr="00193815">
      <w:rPr>
        <w:sz w:val="16"/>
        <w:szCs w:val="16"/>
      </w:rPr>
      <w:t>S</w:t>
    </w:r>
    <w:r w:rsidR="00A36233">
      <w:rPr>
        <w:sz w:val="16"/>
        <w:szCs w:val="16"/>
      </w:rPr>
      <w:t>družené zdravotnické zařízení Krnov, pří</w:t>
    </w:r>
    <w:r w:rsidR="00A36233" w:rsidRPr="00193815">
      <w:rPr>
        <w:sz w:val="16"/>
        <w:szCs w:val="16"/>
      </w:rPr>
      <w:t>spěvková organizace</w:t>
    </w:r>
  </w:p>
  <w:p w14:paraId="210A8FDA" w14:textId="77777777" w:rsidR="00A36233" w:rsidRPr="00193815" w:rsidRDefault="00A36233" w:rsidP="00A36233">
    <w:pPr>
      <w:pStyle w:val="Zhlav"/>
      <w:rPr>
        <w:sz w:val="16"/>
        <w:szCs w:val="16"/>
      </w:rPr>
    </w:pPr>
  </w:p>
  <w:p w14:paraId="2D3D6AA0" w14:textId="77777777" w:rsidR="00A36233" w:rsidRDefault="00A36233" w:rsidP="000C1C02">
    <w:pPr>
      <w:pStyle w:val="Zhlav"/>
      <w:rPr>
        <w:sz w:val="16"/>
        <w:szCs w:val="16"/>
      </w:rPr>
    </w:pPr>
    <w:bookmarkStart w:id="9" w:name="_Hlk119053971"/>
    <w:bookmarkStart w:id="10" w:name="_Hlk119053972"/>
    <w:bookmarkStart w:id="11" w:name="_Hlk119053989"/>
    <w:bookmarkStart w:id="12" w:name="_Hlk119053990"/>
    <w:bookmarkStart w:id="13" w:name="_Hlk119054011"/>
    <w:bookmarkStart w:id="14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9"/>
  <w:bookmarkEnd w:id="10"/>
  <w:bookmarkEnd w:id="11"/>
  <w:bookmarkEnd w:id="12"/>
  <w:bookmarkEnd w:id="13"/>
  <w:bookmarkEnd w:id="14"/>
  <w:p w14:paraId="4B375433" w14:textId="77777777" w:rsidR="007C6403" w:rsidRPr="001435EA" w:rsidRDefault="007C640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15" w:name="_Hlk173495550"/>
    <w:r w:rsidRPr="002D397A">
      <w:rPr>
        <w:rFonts w:cs="Arial"/>
        <w:iCs/>
        <w:sz w:val="16"/>
        <w:szCs w:val="16"/>
      </w:rPr>
      <w:t>odávka přístrojového vybavení pro OLÚ TRN ve Městě Albrechticích“</w:t>
    </w:r>
    <w:bookmarkEnd w:id="15"/>
  </w:p>
  <w:p w14:paraId="5D316683" w14:textId="400054EC" w:rsidR="00A36233" w:rsidRDefault="00C51F7B" w:rsidP="000C1C02">
    <w:pPr>
      <w:pStyle w:val="Zhlav"/>
      <w:rPr>
        <w:sz w:val="16"/>
        <w:szCs w:val="16"/>
      </w:rPr>
    </w:pPr>
    <w:r>
      <w:rPr>
        <w:szCs w:val="23"/>
      </w:rPr>
      <w:pict w14:anchorId="7CB828C0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851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648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8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8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8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8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8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B36A71CE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D43A680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6824E28"/>
    <w:multiLevelType w:val="hybridMultilevel"/>
    <w:tmpl w:val="3F54E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3B5D6D"/>
    <w:multiLevelType w:val="hybridMultilevel"/>
    <w:tmpl w:val="CD663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8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C64B04"/>
    <w:multiLevelType w:val="hybridMultilevel"/>
    <w:tmpl w:val="8BE8C626"/>
    <w:lvl w:ilvl="0" w:tplc="3E5CDC7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4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F2A3F"/>
    <w:multiLevelType w:val="hybridMultilevel"/>
    <w:tmpl w:val="C80E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0"/>
  </w:num>
  <w:num w:numId="6">
    <w:abstractNumId w:val="42"/>
  </w:num>
  <w:num w:numId="7">
    <w:abstractNumId w:val="17"/>
  </w:num>
  <w:num w:numId="8">
    <w:abstractNumId w:val="27"/>
  </w:num>
  <w:num w:numId="9">
    <w:abstractNumId w:val="20"/>
  </w:num>
  <w:num w:numId="10">
    <w:abstractNumId w:val="41"/>
  </w:num>
  <w:num w:numId="11">
    <w:abstractNumId w:val="15"/>
  </w:num>
  <w:num w:numId="12">
    <w:abstractNumId w:val="22"/>
  </w:num>
  <w:num w:numId="13">
    <w:abstractNumId w:val="34"/>
  </w:num>
  <w:num w:numId="14">
    <w:abstractNumId w:val="36"/>
  </w:num>
  <w:num w:numId="15">
    <w:abstractNumId w:val="18"/>
  </w:num>
  <w:num w:numId="16">
    <w:abstractNumId w:val="25"/>
  </w:num>
  <w:num w:numId="17">
    <w:abstractNumId w:val="40"/>
  </w:num>
  <w:num w:numId="18">
    <w:abstractNumId w:val="43"/>
  </w:num>
  <w:num w:numId="19">
    <w:abstractNumId w:val="21"/>
  </w:num>
  <w:num w:numId="20">
    <w:abstractNumId w:val="33"/>
  </w:num>
  <w:num w:numId="21">
    <w:abstractNumId w:val="23"/>
  </w:num>
  <w:num w:numId="22">
    <w:abstractNumId w:val="24"/>
  </w:num>
  <w:num w:numId="23">
    <w:abstractNumId w:val="5"/>
  </w:num>
  <w:num w:numId="24">
    <w:abstractNumId w:val="46"/>
  </w:num>
  <w:num w:numId="25">
    <w:abstractNumId w:val="16"/>
  </w:num>
  <w:num w:numId="26">
    <w:abstractNumId w:val="38"/>
  </w:num>
  <w:num w:numId="27">
    <w:abstractNumId w:val="35"/>
  </w:num>
  <w:num w:numId="28">
    <w:abstractNumId w:val="39"/>
  </w:num>
  <w:num w:numId="29">
    <w:abstractNumId w:val="2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44"/>
  </w:num>
  <w:num w:numId="3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5DE"/>
    <w:rsid w:val="0000062A"/>
    <w:rsid w:val="000017B9"/>
    <w:rsid w:val="00034C3F"/>
    <w:rsid w:val="00040D87"/>
    <w:rsid w:val="000472D4"/>
    <w:rsid w:val="00066DAC"/>
    <w:rsid w:val="000767C8"/>
    <w:rsid w:val="00082C23"/>
    <w:rsid w:val="00082C28"/>
    <w:rsid w:val="0008482D"/>
    <w:rsid w:val="0008599B"/>
    <w:rsid w:val="00086976"/>
    <w:rsid w:val="00092580"/>
    <w:rsid w:val="000B2E04"/>
    <w:rsid w:val="000B5B06"/>
    <w:rsid w:val="000C093A"/>
    <w:rsid w:val="000C1C02"/>
    <w:rsid w:val="000D113E"/>
    <w:rsid w:val="000E0F9F"/>
    <w:rsid w:val="000E2CF2"/>
    <w:rsid w:val="000F7627"/>
    <w:rsid w:val="001054B4"/>
    <w:rsid w:val="00105DE8"/>
    <w:rsid w:val="00120C65"/>
    <w:rsid w:val="00130CA8"/>
    <w:rsid w:val="00132EDB"/>
    <w:rsid w:val="00135BFD"/>
    <w:rsid w:val="00147857"/>
    <w:rsid w:val="001730FA"/>
    <w:rsid w:val="00174309"/>
    <w:rsid w:val="00181F6A"/>
    <w:rsid w:val="0018654B"/>
    <w:rsid w:val="00191230"/>
    <w:rsid w:val="00194C06"/>
    <w:rsid w:val="00196AD4"/>
    <w:rsid w:val="001A66BD"/>
    <w:rsid w:val="001A7E84"/>
    <w:rsid w:val="001B5961"/>
    <w:rsid w:val="001B6DD8"/>
    <w:rsid w:val="001B7F99"/>
    <w:rsid w:val="001C4FFA"/>
    <w:rsid w:val="001E5148"/>
    <w:rsid w:val="001F4579"/>
    <w:rsid w:val="001F6F30"/>
    <w:rsid w:val="00201646"/>
    <w:rsid w:val="0022398F"/>
    <w:rsid w:val="002242F7"/>
    <w:rsid w:val="00231C1B"/>
    <w:rsid w:val="00234F20"/>
    <w:rsid w:val="002424A9"/>
    <w:rsid w:val="0025470E"/>
    <w:rsid w:val="00261FAF"/>
    <w:rsid w:val="0026320D"/>
    <w:rsid w:val="00270D5E"/>
    <w:rsid w:val="00273552"/>
    <w:rsid w:val="00273589"/>
    <w:rsid w:val="0027423B"/>
    <w:rsid w:val="00276B81"/>
    <w:rsid w:val="002772CD"/>
    <w:rsid w:val="00282A22"/>
    <w:rsid w:val="00291CFB"/>
    <w:rsid w:val="002937E4"/>
    <w:rsid w:val="0029468B"/>
    <w:rsid w:val="002A4919"/>
    <w:rsid w:val="002A7A6E"/>
    <w:rsid w:val="002B22D1"/>
    <w:rsid w:val="002B481E"/>
    <w:rsid w:val="002C1372"/>
    <w:rsid w:val="002C2540"/>
    <w:rsid w:val="002C67BD"/>
    <w:rsid w:val="002D17BF"/>
    <w:rsid w:val="002D315E"/>
    <w:rsid w:val="002F63BB"/>
    <w:rsid w:val="00300043"/>
    <w:rsid w:val="003063BF"/>
    <w:rsid w:val="00327203"/>
    <w:rsid w:val="00330875"/>
    <w:rsid w:val="00335520"/>
    <w:rsid w:val="00372C62"/>
    <w:rsid w:val="003961E8"/>
    <w:rsid w:val="00397F3D"/>
    <w:rsid w:val="003A11D1"/>
    <w:rsid w:val="003A2732"/>
    <w:rsid w:val="003A5039"/>
    <w:rsid w:val="003B5BF5"/>
    <w:rsid w:val="003C23EE"/>
    <w:rsid w:val="003C47D7"/>
    <w:rsid w:val="003C7EDE"/>
    <w:rsid w:val="003D4EED"/>
    <w:rsid w:val="003F5C0C"/>
    <w:rsid w:val="0041087D"/>
    <w:rsid w:val="004115E3"/>
    <w:rsid w:val="00414367"/>
    <w:rsid w:val="00417338"/>
    <w:rsid w:val="00421771"/>
    <w:rsid w:val="004335B4"/>
    <w:rsid w:val="0043413F"/>
    <w:rsid w:val="00437B43"/>
    <w:rsid w:val="004447F0"/>
    <w:rsid w:val="0045066D"/>
    <w:rsid w:val="00460076"/>
    <w:rsid w:val="004660EA"/>
    <w:rsid w:val="004732B9"/>
    <w:rsid w:val="00485FB5"/>
    <w:rsid w:val="004A0BEC"/>
    <w:rsid w:val="004A1173"/>
    <w:rsid w:val="004B229B"/>
    <w:rsid w:val="004B357A"/>
    <w:rsid w:val="004C160B"/>
    <w:rsid w:val="004D37D5"/>
    <w:rsid w:val="004E18AD"/>
    <w:rsid w:val="004E247C"/>
    <w:rsid w:val="004F2845"/>
    <w:rsid w:val="0050074E"/>
    <w:rsid w:val="00503452"/>
    <w:rsid w:val="00504643"/>
    <w:rsid w:val="0051040D"/>
    <w:rsid w:val="00514DAB"/>
    <w:rsid w:val="00514DD4"/>
    <w:rsid w:val="00516047"/>
    <w:rsid w:val="005333C3"/>
    <w:rsid w:val="00544F7D"/>
    <w:rsid w:val="005469BA"/>
    <w:rsid w:val="00550D3F"/>
    <w:rsid w:val="005546AA"/>
    <w:rsid w:val="00560D4D"/>
    <w:rsid w:val="00564086"/>
    <w:rsid w:val="0056529B"/>
    <w:rsid w:val="00576390"/>
    <w:rsid w:val="00596926"/>
    <w:rsid w:val="00596D10"/>
    <w:rsid w:val="005B19B3"/>
    <w:rsid w:val="005B364E"/>
    <w:rsid w:val="005B6967"/>
    <w:rsid w:val="005B7A6E"/>
    <w:rsid w:val="005C103D"/>
    <w:rsid w:val="005D1BFC"/>
    <w:rsid w:val="00604BBC"/>
    <w:rsid w:val="00604EF2"/>
    <w:rsid w:val="006152AF"/>
    <w:rsid w:val="00623303"/>
    <w:rsid w:val="0063594B"/>
    <w:rsid w:val="00642193"/>
    <w:rsid w:val="00645275"/>
    <w:rsid w:val="0066230D"/>
    <w:rsid w:val="006638BF"/>
    <w:rsid w:val="00670F32"/>
    <w:rsid w:val="00680F59"/>
    <w:rsid w:val="00684180"/>
    <w:rsid w:val="00693FB0"/>
    <w:rsid w:val="006A59A5"/>
    <w:rsid w:val="006A7F8F"/>
    <w:rsid w:val="006B457D"/>
    <w:rsid w:val="006C361D"/>
    <w:rsid w:val="006C45D8"/>
    <w:rsid w:val="006C4953"/>
    <w:rsid w:val="006C66F8"/>
    <w:rsid w:val="006D03B5"/>
    <w:rsid w:val="006D6F57"/>
    <w:rsid w:val="006E4023"/>
    <w:rsid w:val="006F5C51"/>
    <w:rsid w:val="00702831"/>
    <w:rsid w:val="00707944"/>
    <w:rsid w:val="00723A10"/>
    <w:rsid w:val="00730351"/>
    <w:rsid w:val="007471FB"/>
    <w:rsid w:val="0075071C"/>
    <w:rsid w:val="00762893"/>
    <w:rsid w:val="007635EF"/>
    <w:rsid w:val="007656C1"/>
    <w:rsid w:val="00773BFF"/>
    <w:rsid w:val="00780CEC"/>
    <w:rsid w:val="00796D23"/>
    <w:rsid w:val="007A0185"/>
    <w:rsid w:val="007A4B2D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27FC6"/>
    <w:rsid w:val="0084012E"/>
    <w:rsid w:val="008500E1"/>
    <w:rsid w:val="00853E58"/>
    <w:rsid w:val="008707AA"/>
    <w:rsid w:val="00871FD5"/>
    <w:rsid w:val="00874347"/>
    <w:rsid w:val="0088619D"/>
    <w:rsid w:val="0089664B"/>
    <w:rsid w:val="008A0F7E"/>
    <w:rsid w:val="008A3FF6"/>
    <w:rsid w:val="008A418D"/>
    <w:rsid w:val="008A6DAF"/>
    <w:rsid w:val="008A70E3"/>
    <w:rsid w:val="008B302A"/>
    <w:rsid w:val="008B7CC6"/>
    <w:rsid w:val="008D4BC6"/>
    <w:rsid w:val="008E3151"/>
    <w:rsid w:val="008F06BB"/>
    <w:rsid w:val="0090255A"/>
    <w:rsid w:val="00914226"/>
    <w:rsid w:val="00917A99"/>
    <w:rsid w:val="00925297"/>
    <w:rsid w:val="00926712"/>
    <w:rsid w:val="00926F58"/>
    <w:rsid w:val="0093267B"/>
    <w:rsid w:val="00936CD5"/>
    <w:rsid w:val="00951CDB"/>
    <w:rsid w:val="00962FE3"/>
    <w:rsid w:val="0097332A"/>
    <w:rsid w:val="009808CB"/>
    <w:rsid w:val="00985DE8"/>
    <w:rsid w:val="00993913"/>
    <w:rsid w:val="00996364"/>
    <w:rsid w:val="00997410"/>
    <w:rsid w:val="009B459E"/>
    <w:rsid w:val="009C7B16"/>
    <w:rsid w:val="009E197F"/>
    <w:rsid w:val="009F30A2"/>
    <w:rsid w:val="00A027C1"/>
    <w:rsid w:val="00A04CCD"/>
    <w:rsid w:val="00A11E37"/>
    <w:rsid w:val="00A139D5"/>
    <w:rsid w:val="00A1477A"/>
    <w:rsid w:val="00A20CFB"/>
    <w:rsid w:val="00A2382B"/>
    <w:rsid w:val="00A26BCA"/>
    <w:rsid w:val="00A36233"/>
    <w:rsid w:val="00A37843"/>
    <w:rsid w:val="00A44B7D"/>
    <w:rsid w:val="00A56428"/>
    <w:rsid w:val="00A617E5"/>
    <w:rsid w:val="00A72FE9"/>
    <w:rsid w:val="00A74F4C"/>
    <w:rsid w:val="00A830F1"/>
    <w:rsid w:val="00A835D6"/>
    <w:rsid w:val="00A85F44"/>
    <w:rsid w:val="00A91393"/>
    <w:rsid w:val="00A94CFD"/>
    <w:rsid w:val="00A960B0"/>
    <w:rsid w:val="00A962E1"/>
    <w:rsid w:val="00AB1115"/>
    <w:rsid w:val="00AB2299"/>
    <w:rsid w:val="00AB4237"/>
    <w:rsid w:val="00AB60ED"/>
    <w:rsid w:val="00AD3B76"/>
    <w:rsid w:val="00AD4643"/>
    <w:rsid w:val="00AD6279"/>
    <w:rsid w:val="00AD6A04"/>
    <w:rsid w:val="00AE7F33"/>
    <w:rsid w:val="00B0368F"/>
    <w:rsid w:val="00B04649"/>
    <w:rsid w:val="00B055F0"/>
    <w:rsid w:val="00B11BA5"/>
    <w:rsid w:val="00B261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77F78"/>
    <w:rsid w:val="00B80631"/>
    <w:rsid w:val="00B92A49"/>
    <w:rsid w:val="00B93FBA"/>
    <w:rsid w:val="00BA10E7"/>
    <w:rsid w:val="00BA14B6"/>
    <w:rsid w:val="00BA6ACE"/>
    <w:rsid w:val="00BB1FF9"/>
    <w:rsid w:val="00BD54F8"/>
    <w:rsid w:val="00BD592C"/>
    <w:rsid w:val="00BD7519"/>
    <w:rsid w:val="00BE137A"/>
    <w:rsid w:val="00BF17AB"/>
    <w:rsid w:val="00C03F35"/>
    <w:rsid w:val="00C06172"/>
    <w:rsid w:val="00C06A1F"/>
    <w:rsid w:val="00C16F4A"/>
    <w:rsid w:val="00C17781"/>
    <w:rsid w:val="00C3727E"/>
    <w:rsid w:val="00C42983"/>
    <w:rsid w:val="00C51F7B"/>
    <w:rsid w:val="00C74F73"/>
    <w:rsid w:val="00C75B24"/>
    <w:rsid w:val="00C82965"/>
    <w:rsid w:val="00C85C53"/>
    <w:rsid w:val="00C86D3D"/>
    <w:rsid w:val="00C90259"/>
    <w:rsid w:val="00C91F25"/>
    <w:rsid w:val="00CA2C24"/>
    <w:rsid w:val="00CA3355"/>
    <w:rsid w:val="00CD34F9"/>
    <w:rsid w:val="00CD7704"/>
    <w:rsid w:val="00CE6876"/>
    <w:rsid w:val="00CF25EA"/>
    <w:rsid w:val="00D16024"/>
    <w:rsid w:val="00D168C4"/>
    <w:rsid w:val="00D20D77"/>
    <w:rsid w:val="00D21586"/>
    <w:rsid w:val="00D33E3E"/>
    <w:rsid w:val="00D3544D"/>
    <w:rsid w:val="00D67825"/>
    <w:rsid w:val="00D72925"/>
    <w:rsid w:val="00D95535"/>
    <w:rsid w:val="00DB7B20"/>
    <w:rsid w:val="00DC10F9"/>
    <w:rsid w:val="00DC313E"/>
    <w:rsid w:val="00DE66E5"/>
    <w:rsid w:val="00DF52DA"/>
    <w:rsid w:val="00E03E42"/>
    <w:rsid w:val="00E05DE3"/>
    <w:rsid w:val="00E072AC"/>
    <w:rsid w:val="00E10A2C"/>
    <w:rsid w:val="00E13D01"/>
    <w:rsid w:val="00E17B71"/>
    <w:rsid w:val="00E2071A"/>
    <w:rsid w:val="00E25572"/>
    <w:rsid w:val="00E32AA9"/>
    <w:rsid w:val="00E34A51"/>
    <w:rsid w:val="00E356A1"/>
    <w:rsid w:val="00E3656A"/>
    <w:rsid w:val="00E43E13"/>
    <w:rsid w:val="00E44135"/>
    <w:rsid w:val="00E50BC4"/>
    <w:rsid w:val="00E511D2"/>
    <w:rsid w:val="00E637AE"/>
    <w:rsid w:val="00E66AAD"/>
    <w:rsid w:val="00E7730C"/>
    <w:rsid w:val="00EB2774"/>
    <w:rsid w:val="00EB67D5"/>
    <w:rsid w:val="00EB7642"/>
    <w:rsid w:val="00EC1BDC"/>
    <w:rsid w:val="00EC6290"/>
    <w:rsid w:val="00EC64F3"/>
    <w:rsid w:val="00EC666D"/>
    <w:rsid w:val="00EC720B"/>
    <w:rsid w:val="00ED2E5B"/>
    <w:rsid w:val="00EE6C2D"/>
    <w:rsid w:val="00EF076A"/>
    <w:rsid w:val="00EF1CEF"/>
    <w:rsid w:val="00EF2CA2"/>
    <w:rsid w:val="00F02F04"/>
    <w:rsid w:val="00F07040"/>
    <w:rsid w:val="00F1116D"/>
    <w:rsid w:val="00F16F35"/>
    <w:rsid w:val="00F30FC3"/>
    <w:rsid w:val="00F40F64"/>
    <w:rsid w:val="00F4562E"/>
    <w:rsid w:val="00F50223"/>
    <w:rsid w:val="00F50348"/>
    <w:rsid w:val="00F5585A"/>
    <w:rsid w:val="00F71DB5"/>
    <w:rsid w:val="00F82F9A"/>
    <w:rsid w:val="00FA0FB6"/>
    <w:rsid w:val="00FC749E"/>
    <w:rsid w:val="00FD0B4A"/>
    <w:rsid w:val="00FD33EA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529D8B6A-CD75-4D22-80C2-D14971FA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99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0005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0005DE"/>
  </w:style>
  <w:style w:type="character" w:customStyle="1" w:styleId="eop">
    <w:name w:val="eop"/>
    <w:basedOn w:val="Standardnpsmoodstavce"/>
    <w:rsid w:val="000005DE"/>
  </w:style>
  <w:style w:type="paragraph" w:customStyle="1" w:styleId="Default">
    <w:name w:val="Default"/>
    <w:rsid w:val="00437B4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szzkrno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4293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Otrubová Roxana</dc:creator>
  <cp:keywords/>
  <dc:description/>
  <cp:lastModifiedBy>Čepová Gabriela</cp:lastModifiedBy>
  <cp:revision>3</cp:revision>
  <dcterms:created xsi:type="dcterms:W3CDTF">2025-05-15T05:12:00Z</dcterms:created>
  <dcterms:modified xsi:type="dcterms:W3CDTF">2025-05-15T05:15:00Z</dcterms:modified>
</cp:coreProperties>
</file>