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49723F86" w:rsidR="000F76A0" w:rsidRPr="0066716E" w:rsidRDefault="0066716E" w:rsidP="009B0ACA">
      <w:pPr>
        <w:spacing w:after="0" w:line="240" w:lineRule="auto"/>
        <w:rPr>
          <w:rFonts w:ascii="Arial" w:hAnsi="Arial" w:cs="Arial"/>
          <w:b/>
        </w:rPr>
      </w:pPr>
      <w:r>
        <w:rPr>
          <w:rFonts w:ascii="Arial" w:hAnsi="Arial" w:cs="Arial"/>
          <w:b/>
        </w:rPr>
        <w:t xml:space="preserve">SDRUŽENÍ OBČANŮ ZDRAVOTNĚ POSTIŽENÝCH BRUNTÁL, </w:t>
      </w:r>
      <w:proofErr w:type="spellStart"/>
      <w:r>
        <w:rPr>
          <w:rFonts w:ascii="Arial" w:hAnsi="Arial" w:cs="Arial"/>
          <w:b/>
        </w:rPr>
        <w:t>z.s</w:t>
      </w:r>
      <w:proofErr w:type="spellEnd"/>
      <w:r>
        <w:rPr>
          <w:rFonts w:ascii="Arial" w:hAnsi="Arial" w:cs="Arial"/>
          <w:b/>
        </w:rPr>
        <w:t>.</w:t>
      </w:r>
    </w:p>
    <w:p w14:paraId="5A8BD149" w14:textId="3EF4E7A5"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66716E">
        <w:rPr>
          <w:rFonts w:ascii="Arial" w:hAnsi="Arial" w:cs="Arial"/>
        </w:rPr>
        <w:t xml:space="preserve">Dukelská 1501/2, 792 </w:t>
      </w:r>
      <w:proofErr w:type="gramStart"/>
      <w:r w:rsidR="0066716E">
        <w:rPr>
          <w:rFonts w:ascii="Arial" w:hAnsi="Arial" w:cs="Arial"/>
        </w:rPr>
        <w:t>01  Bruntál</w:t>
      </w:r>
      <w:proofErr w:type="gramEnd"/>
      <w:r w:rsidR="0066716E">
        <w:rPr>
          <w:rFonts w:ascii="Arial" w:hAnsi="Arial" w:cs="Arial"/>
        </w:rPr>
        <w:t xml:space="preserve"> </w:t>
      </w:r>
    </w:p>
    <w:p w14:paraId="40E8B88F" w14:textId="02B3DEFA" w:rsidR="000938D5" w:rsidRPr="006911F2" w:rsidRDefault="000938D5" w:rsidP="009B0ACA">
      <w:pPr>
        <w:spacing w:after="0" w:line="240" w:lineRule="auto"/>
        <w:rPr>
          <w:rFonts w:ascii="Arial" w:hAnsi="Arial" w:cs="Arial"/>
        </w:rPr>
      </w:pPr>
      <w:r w:rsidRPr="006911F2">
        <w:rPr>
          <w:rFonts w:ascii="Arial" w:hAnsi="Arial" w:cs="Arial"/>
        </w:rPr>
        <w:t>zastoupen</w:t>
      </w:r>
      <w:r w:rsidR="000F76A0">
        <w:rPr>
          <w:rFonts w:ascii="Arial" w:hAnsi="Arial" w:cs="Arial"/>
        </w:rPr>
        <w:t>o</w:t>
      </w:r>
      <w:r w:rsidR="002A7C77" w:rsidRPr="006911F2">
        <w:rPr>
          <w:rFonts w:ascii="Arial" w:hAnsi="Arial" w:cs="Arial"/>
        </w:rPr>
        <w:t>:</w:t>
      </w:r>
      <w:r w:rsidR="0066716E">
        <w:rPr>
          <w:rFonts w:ascii="Arial" w:hAnsi="Arial" w:cs="Arial"/>
        </w:rPr>
        <w:t xml:space="preserve"> </w:t>
      </w:r>
      <w:r w:rsidR="0084483A">
        <w:rPr>
          <w:rFonts w:ascii="Arial" w:hAnsi="Arial" w:cs="Arial"/>
        </w:rPr>
        <w:t>XXXXXXXXXXXXXXX</w:t>
      </w:r>
      <w:r w:rsidR="0066716E">
        <w:rPr>
          <w:rFonts w:ascii="Arial" w:hAnsi="Arial" w:cs="Arial"/>
        </w:rPr>
        <w:t>, předseda</w:t>
      </w:r>
    </w:p>
    <w:p w14:paraId="3AFD1406" w14:textId="145E1C1F"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66716E">
        <w:rPr>
          <w:rFonts w:ascii="Arial" w:hAnsi="Arial" w:cs="Arial"/>
        </w:rPr>
        <w:t>266 06 925</w:t>
      </w:r>
    </w:p>
    <w:p w14:paraId="19F60E5D" w14:textId="71863EFA"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84483A">
        <w:rPr>
          <w:rFonts w:ascii="Arial" w:hAnsi="Arial" w:cs="Arial"/>
        </w:rPr>
        <w:t>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1D051922" w:rsidR="00E008E3" w:rsidRPr="006911F2" w:rsidRDefault="00E008E3" w:rsidP="000119E4">
      <w:pPr>
        <w:spacing w:after="0" w:line="240" w:lineRule="auto"/>
        <w:jc w:val="both"/>
        <w:rPr>
          <w:rFonts w:ascii="Arial" w:hAnsi="Arial" w:cs="Arial"/>
        </w:rPr>
      </w:pPr>
      <w:r w:rsidRPr="006911F2">
        <w:rPr>
          <w:rFonts w:ascii="Arial" w:hAnsi="Arial" w:cs="Arial"/>
        </w:rPr>
        <w:t>Poskytovatel uzavírá s příjemcem tuto smlouvu o poskytnutí dotace ve výši</w:t>
      </w:r>
      <w:r w:rsidR="00F455AB">
        <w:rPr>
          <w:rFonts w:ascii="Arial" w:hAnsi="Arial" w:cs="Arial"/>
        </w:rPr>
        <w:t xml:space="preserve"> 126.000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F455AB">
        <w:rPr>
          <w:rFonts w:ascii="Arial" w:hAnsi="Arial" w:cs="Arial"/>
        </w:rPr>
        <w:t xml:space="preserve">sto dvacet šest tisíc </w:t>
      </w:r>
      <w:r w:rsidRPr="006911F2">
        <w:rPr>
          <w:rFonts w:ascii="Arial" w:hAnsi="Arial" w:cs="Arial"/>
        </w:rPr>
        <w:t>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7225C364"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w:t>
      </w:r>
      <w:r w:rsidR="002B1247">
        <w:rPr>
          <w:rFonts w:ascii="Arial" w:hAnsi="Arial" w:cs="Arial"/>
        </w:rPr>
        <w:br/>
      </w:r>
      <w:r w:rsidR="00C577ED" w:rsidRPr="00B20D72">
        <w:rPr>
          <w:rFonts w:ascii="Arial" w:hAnsi="Arial" w:cs="Arial"/>
        </w:rPr>
        <w:t>sociální</w:t>
      </w:r>
      <w:r w:rsidR="000F76A0" w:rsidRPr="00B20D72">
        <w:rPr>
          <w:rFonts w:ascii="Arial" w:hAnsi="Arial" w:cs="Arial"/>
        </w:rPr>
        <w:t xml:space="preserve"> </w:t>
      </w:r>
      <w:r w:rsidR="00C577ED" w:rsidRPr="00B20D72">
        <w:rPr>
          <w:rFonts w:ascii="Arial" w:hAnsi="Arial" w:cs="Arial"/>
        </w:rPr>
        <w:t>a sociální prevence</w:t>
      </w:r>
      <w:r w:rsidR="00ED25CA">
        <w:rPr>
          <w:rFonts w:ascii="Arial" w:hAnsi="Arial" w:cs="Arial"/>
        </w:rPr>
        <w:t xml:space="preserve">: 41x rekondiční a rehabilitační cvičení, 32x </w:t>
      </w:r>
      <w:r w:rsidR="002B1247">
        <w:rPr>
          <w:rFonts w:ascii="Arial" w:hAnsi="Arial" w:cs="Arial"/>
        </w:rPr>
        <w:t xml:space="preserve">rekondiční </w:t>
      </w:r>
      <w:r w:rsidR="002B1247">
        <w:rPr>
          <w:rFonts w:ascii="Arial" w:hAnsi="Arial" w:cs="Arial"/>
        </w:rPr>
        <w:br/>
        <w:t xml:space="preserve">a rehabilitační plavání a cvičení v bazénu ve </w:t>
      </w:r>
      <w:proofErr w:type="spellStart"/>
      <w:r w:rsidR="002B1247">
        <w:rPr>
          <w:rFonts w:ascii="Arial" w:hAnsi="Arial" w:cs="Arial"/>
        </w:rPr>
        <w:t>W</w:t>
      </w:r>
      <w:r w:rsidR="00ED25CA">
        <w:rPr>
          <w:rFonts w:ascii="Arial" w:hAnsi="Arial" w:cs="Arial"/>
        </w:rPr>
        <w:t>ellness</w:t>
      </w:r>
      <w:proofErr w:type="spellEnd"/>
      <w:r w:rsidR="002B1247">
        <w:rPr>
          <w:rFonts w:ascii="Arial" w:hAnsi="Arial" w:cs="Arial"/>
        </w:rPr>
        <w:t xml:space="preserve"> centru Bruntál</w:t>
      </w:r>
      <w:r w:rsidR="00ED25CA">
        <w:rPr>
          <w:rFonts w:ascii="Arial" w:hAnsi="Arial" w:cs="Arial"/>
        </w:rPr>
        <w:t>;</w:t>
      </w:r>
      <w:r w:rsidR="002B1247">
        <w:rPr>
          <w:rFonts w:ascii="Arial" w:hAnsi="Arial" w:cs="Arial"/>
        </w:rPr>
        <w:t xml:space="preserve"> </w:t>
      </w:r>
      <w:r w:rsidR="00ED25CA">
        <w:rPr>
          <w:rFonts w:ascii="Arial" w:hAnsi="Arial" w:cs="Arial"/>
        </w:rPr>
        <w:t>12</w:t>
      </w:r>
      <w:r w:rsidR="002B1247">
        <w:rPr>
          <w:rFonts w:ascii="Arial" w:hAnsi="Arial" w:cs="Arial"/>
        </w:rPr>
        <w:t xml:space="preserve"> </w:t>
      </w:r>
      <w:r w:rsidR="00ED25CA">
        <w:rPr>
          <w:rFonts w:ascii="Arial" w:hAnsi="Arial" w:cs="Arial"/>
        </w:rPr>
        <w:t>relaxační</w:t>
      </w:r>
      <w:r w:rsidR="002B1247">
        <w:rPr>
          <w:rFonts w:ascii="Arial" w:hAnsi="Arial" w:cs="Arial"/>
        </w:rPr>
        <w:t>ch</w:t>
      </w:r>
      <w:r w:rsidR="00ED25CA">
        <w:rPr>
          <w:rFonts w:ascii="Arial" w:hAnsi="Arial" w:cs="Arial"/>
        </w:rPr>
        <w:t xml:space="preserve"> </w:t>
      </w:r>
      <w:r w:rsidR="002B1247">
        <w:rPr>
          <w:rFonts w:ascii="Arial" w:hAnsi="Arial" w:cs="Arial"/>
        </w:rPr>
        <w:br/>
      </w:r>
      <w:r w:rsidR="00ED25CA">
        <w:rPr>
          <w:rFonts w:ascii="Arial" w:hAnsi="Arial" w:cs="Arial"/>
        </w:rPr>
        <w:t>a poznávacích výšlapů; 3x turnaj v kuželkách; 2x členská schůze;</w:t>
      </w:r>
      <w:r w:rsidR="002B1247">
        <w:rPr>
          <w:rFonts w:ascii="Arial" w:hAnsi="Arial" w:cs="Arial"/>
        </w:rPr>
        <w:t xml:space="preserve"> </w:t>
      </w:r>
      <w:r w:rsidR="00ED25CA">
        <w:rPr>
          <w:rFonts w:ascii="Arial" w:hAnsi="Arial" w:cs="Arial"/>
        </w:rPr>
        <w:t>2x t</w:t>
      </w:r>
      <w:r w:rsidR="002B1247">
        <w:rPr>
          <w:rFonts w:ascii="Arial" w:hAnsi="Arial" w:cs="Arial"/>
        </w:rPr>
        <w:t>e</w:t>
      </w:r>
      <w:r w:rsidR="00ED25CA">
        <w:rPr>
          <w:rFonts w:ascii="Arial" w:hAnsi="Arial" w:cs="Arial"/>
        </w:rPr>
        <w:t xml:space="preserve">matický zájezd </w:t>
      </w:r>
      <w:r w:rsidR="002B1247">
        <w:rPr>
          <w:rFonts w:ascii="Arial" w:hAnsi="Arial" w:cs="Arial"/>
        </w:rPr>
        <w:br/>
      </w:r>
      <w:r w:rsidR="00ED25CA">
        <w:rPr>
          <w:rFonts w:ascii="Arial" w:hAnsi="Arial" w:cs="Arial"/>
        </w:rPr>
        <w:t>pro 45</w:t>
      </w:r>
      <w:r w:rsidR="002B1247">
        <w:rPr>
          <w:rFonts w:ascii="Arial" w:hAnsi="Arial" w:cs="Arial"/>
        </w:rPr>
        <w:t xml:space="preserve"> </w:t>
      </w:r>
      <w:r w:rsidR="00ED25CA">
        <w:rPr>
          <w:rFonts w:ascii="Arial" w:hAnsi="Arial" w:cs="Arial"/>
        </w:rPr>
        <w:t xml:space="preserve">bruntálských občanů.    </w:t>
      </w:r>
      <w:r w:rsidR="00C577ED" w:rsidRPr="00B20D72">
        <w:rPr>
          <w:rFonts w:ascii="Arial" w:hAnsi="Arial" w:cs="Arial"/>
        </w:rPr>
        <w:t xml:space="preserve"> </w:t>
      </w:r>
      <w:r w:rsidR="009B0ACA" w:rsidRPr="00B20D72">
        <w:rPr>
          <w:rFonts w:ascii="Arial" w:hAnsi="Arial" w:cs="Arial"/>
        </w:rPr>
        <w:t xml:space="preserve"> </w:t>
      </w:r>
    </w:p>
    <w:p w14:paraId="4312C53E" w14:textId="64A2E8C9" w:rsidR="00F455AB" w:rsidRDefault="000A217A" w:rsidP="00CB0768">
      <w:pPr>
        <w:pStyle w:val="Odstavecseseznamem"/>
        <w:numPr>
          <w:ilvl w:val="0"/>
          <w:numId w:val="3"/>
        </w:numPr>
        <w:spacing w:after="0" w:line="240" w:lineRule="auto"/>
        <w:rPr>
          <w:rFonts w:ascii="Arial" w:hAnsi="Arial" w:cs="Arial"/>
        </w:rPr>
      </w:pPr>
      <w:r w:rsidRPr="00F455AB">
        <w:rPr>
          <w:rFonts w:ascii="Arial" w:hAnsi="Arial" w:cs="Arial"/>
        </w:rPr>
        <w:t>Doba, v níž má být stanoveného účelu dosaženo</w:t>
      </w:r>
      <w:r w:rsidR="00412C2D" w:rsidRPr="00F455AB">
        <w:rPr>
          <w:rFonts w:ascii="Arial" w:hAnsi="Arial" w:cs="Arial"/>
        </w:rPr>
        <w:t>:</w:t>
      </w:r>
      <w:r w:rsidR="000F76A0" w:rsidRPr="00F455AB">
        <w:rPr>
          <w:rFonts w:ascii="Arial" w:hAnsi="Arial" w:cs="Arial"/>
        </w:rPr>
        <w:t xml:space="preserve"> </w:t>
      </w:r>
      <w:r w:rsidR="00F455AB" w:rsidRPr="00F455AB">
        <w:rPr>
          <w:rFonts w:ascii="Arial" w:hAnsi="Arial" w:cs="Arial"/>
        </w:rPr>
        <w:t xml:space="preserve">08.01.2025 </w:t>
      </w:r>
      <w:r w:rsidR="00F455AB">
        <w:rPr>
          <w:rFonts w:ascii="Arial" w:hAnsi="Arial" w:cs="Arial"/>
        </w:rPr>
        <w:t>-</w:t>
      </w:r>
      <w:r w:rsidR="00F455AB" w:rsidRPr="00F455AB">
        <w:rPr>
          <w:rFonts w:ascii="Arial" w:hAnsi="Arial" w:cs="Arial"/>
        </w:rPr>
        <w:t xml:space="preserve"> 31.12.2025.</w:t>
      </w:r>
    </w:p>
    <w:p w14:paraId="682DC80E" w14:textId="4225B2BD" w:rsidR="000A217A" w:rsidRPr="00F455AB" w:rsidRDefault="00F455AB" w:rsidP="00CB0768">
      <w:pPr>
        <w:pStyle w:val="Odstavecseseznamem"/>
        <w:numPr>
          <w:ilvl w:val="0"/>
          <w:numId w:val="3"/>
        </w:numPr>
        <w:spacing w:after="0" w:line="240" w:lineRule="auto"/>
        <w:rPr>
          <w:rFonts w:ascii="Arial" w:hAnsi="Arial" w:cs="Arial"/>
        </w:rPr>
      </w:pPr>
      <w:r>
        <w:rPr>
          <w:rFonts w:ascii="Arial" w:hAnsi="Arial" w:cs="Arial"/>
        </w:rPr>
        <w:t>N</w:t>
      </w:r>
      <w:r w:rsidR="000A217A" w:rsidRPr="00F455AB">
        <w:rPr>
          <w:rFonts w:ascii="Arial" w:hAnsi="Arial" w:cs="Arial"/>
        </w:rPr>
        <w:t>ázev projektu</w:t>
      </w:r>
      <w:r w:rsidR="00C53D04" w:rsidRPr="00F455AB">
        <w:rPr>
          <w:rFonts w:ascii="Arial" w:hAnsi="Arial" w:cs="Arial"/>
        </w:rPr>
        <w:t>:</w:t>
      </w:r>
      <w:r w:rsidR="000A217A" w:rsidRPr="00F455AB">
        <w:rPr>
          <w:rFonts w:ascii="Arial" w:hAnsi="Arial" w:cs="Arial"/>
        </w:rPr>
        <w:t xml:space="preserve"> „</w:t>
      </w:r>
      <w:r w:rsidR="00265ACE" w:rsidRPr="00F455AB">
        <w:rPr>
          <w:rFonts w:ascii="Arial" w:hAnsi="Arial" w:cs="Arial"/>
        </w:rPr>
        <w:t xml:space="preserve">CELOROČNÍ FYZICKÉ A </w:t>
      </w:r>
      <w:r w:rsidR="00265ACE" w:rsidRPr="00F455AB">
        <w:rPr>
          <w:rFonts w:ascii="Arial" w:hAnsi="Arial" w:cs="Arial"/>
          <w:smallCaps/>
          <w:vanish/>
        </w:rPr>
        <w:t xml:space="preserve">PSYCPPS      </w:t>
      </w:r>
      <w:r w:rsidR="0066716E" w:rsidRPr="00F455AB">
        <w:rPr>
          <w:rFonts w:ascii="Arial" w:hAnsi="Arial" w:cs="Arial"/>
          <w:smallCaps/>
          <w:vanish/>
        </w:rPr>
        <w:t xml:space="preserve">PODZIM </w:t>
      </w:r>
      <w:r w:rsidR="00963242" w:rsidRPr="00F455AB">
        <w:rPr>
          <w:rFonts w:ascii="Arial" w:hAnsi="Arial" w:cs="Arial"/>
          <w:smallCaps/>
        </w:rPr>
        <w:t>PSYCHICKÉ AKTIVIZAČNÍ ČINNOSTI</w:t>
      </w:r>
      <w:r w:rsidR="000A217A" w:rsidRPr="00F455AB">
        <w:rPr>
          <w:rFonts w:ascii="Arial" w:hAnsi="Arial" w:cs="Arial"/>
        </w:rPr>
        <w:t>“</w:t>
      </w:r>
      <w:r w:rsidR="00412C2D" w:rsidRPr="00F455AB">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1180ACF3" w:rsidR="000A217A" w:rsidRPr="00B20D72" w:rsidRDefault="00670B39" w:rsidP="003D67CC">
      <w:pPr>
        <w:pStyle w:val="Odstavecseseznamem"/>
        <w:spacing w:after="0" w:line="240" w:lineRule="auto"/>
        <w:ind w:left="397"/>
        <w:jc w:val="both"/>
        <w:rPr>
          <w:rFonts w:ascii="Arial" w:hAnsi="Arial" w:cs="Arial"/>
        </w:rPr>
      </w:pPr>
      <w:r w:rsidRPr="00B20D72">
        <w:rPr>
          <w:rFonts w:ascii="Arial" w:hAnsi="Arial" w:cs="Arial"/>
        </w:rPr>
        <w:t>a)</w:t>
      </w:r>
      <w:r w:rsidR="00F455AB">
        <w:rPr>
          <w:rFonts w:ascii="Arial" w:hAnsi="Arial" w:cs="Arial"/>
        </w:rPr>
        <w:t xml:space="preserve"> dohody o provedení práce </w:t>
      </w:r>
    </w:p>
    <w:p w14:paraId="59987907" w14:textId="3282D677" w:rsidR="00670B39" w:rsidRPr="00B20D72" w:rsidRDefault="00670B39" w:rsidP="003D67CC">
      <w:pPr>
        <w:pStyle w:val="Odstavecseseznamem"/>
        <w:spacing w:after="0" w:line="240" w:lineRule="auto"/>
        <w:ind w:left="397"/>
        <w:jc w:val="both"/>
        <w:rPr>
          <w:rFonts w:ascii="Arial" w:hAnsi="Arial" w:cs="Arial"/>
        </w:rPr>
      </w:pPr>
      <w:r w:rsidRPr="00B20D72">
        <w:rPr>
          <w:rFonts w:ascii="Arial" w:hAnsi="Arial" w:cs="Arial"/>
        </w:rPr>
        <w:t>b)</w:t>
      </w:r>
      <w:r w:rsidR="00F455AB">
        <w:rPr>
          <w:rFonts w:ascii="Arial" w:hAnsi="Arial" w:cs="Arial"/>
        </w:rPr>
        <w:t xml:space="preserve"> potraviny</w:t>
      </w:r>
    </w:p>
    <w:p w14:paraId="4967D889" w14:textId="50CFD28A" w:rsidR="00670B39" w:rsidRDefault="00670B39" w:rsidP="003D67CC">
      <w:pPr>
        <w:pStyle w:val="Odstavecseseznamem"/>
        <w:spacing w:after="0" w:line="240" w:lineRule="auto"/>
        <w:ind w:left="397"/>
        <w:jc w:val="both"/>
        <w:rPr>
          <w:rFonts w:ascii="Arial" w:hAnsi="Arial" w:cs="Arial"/>
        </w:rPr>
      </w:pPr>
      <w:r w:rsidRPr="00B20D72">
        <w:rPr>
          <w:rFonts w:ascii="Arial" w:hAnsi="Arial" w:cs="Arial"/>
        </w:rPr>
        <w:lastRenderedPageBreak/>
        <w:t>c)</w:t>
      </w:r>
      <w:r w:rsidR="00F455AB">
        <w:rPr>
          <w:rFonts w:ascii="Arial" w:hAnsi="Arial" w:cs="Arial"/>
        </w:rPr>
        <w:t xml:space="preserve"> kancelářské potřeby </w:t>
      </w:r>
    </w:p>
    <w:p w14:paraId="4FCCE8C0" w14:textId="53C1C32F" w:rsidR="00F455AB" w:rsidRDefault="00F455AB" w:rsidP="003D67CC">
      <w:pPr>
        <w:pStyle w:val="Odstavecseseznamem"/>
        <w:spacing w:after="0" w:line="240" w:lineRule="auto"/>
        <w:ind w:left="397"/>
        <w:jc w:val="both"/>
        <w:rPr>
          <w:rFonts w:ascii="Arial" w:hAnsi="Arial" w:cs="Arial"/>
        </w:rPr>
      </w:pPr>
      <w:r>
        <w:rPr>
          <w:rFonts w:ascii="Arial" w:hAnsi="Arial" w:cs="Arial"/>
        </w:rPr>
        <w:t>d) jiné spotřebované nákupy – obalový materiál</w:t>
      </w:r>
      <w:r w:rsidR="003D67CC">
        <w:rPr>
          <w:rFonts w:ascii="Arial" w:hAnsi="Arial" w:cs="Arial"/>
        </w:rPr>
        <w:t xml:space="preserve"> (</w:t>
      </w:r>
      <w:r>
        <w:rPr>
          <w:rFonts w:ascii="Arial" w:hAnsi="Arial" w:cs="Arial"/>
        </w:rPr>
        <w:t xml:space="preserve">kelímky, tácky, ubrousky na členské </w:t>
      </w:r>
      <w:r w:rsidR="003D67CC">
        <w:rPr>
          <w:rFonts w:ascii="Arial" w:hAnsi="Arial" w:cs="Arial"/>
        </w:rPr>
        <w:br/>
        <w:t xml:space="preserve">     </w:t>
      </w:r>
      <w:r>
        <w:rPr>
          <w:rFonts w:ascii="Arial" w:hAnsi="Arial" w:cs="Arial"/>
        </w:rPr>
        <w:t>schůze - 300 ks</w:t>
      </w:r>
      <w:r w:rsidR="003D67CC">
        <w:rPr>
          <w:rFonts w:ascii="Arial" w:hAnsi="Arial" w:cs="Arial"/>
        </w:rPr>
        <w:t>)</w:t>
      </w:r>
    </w:p>
    <w:p w14:paraId="7D057976" w14:textId="343655F6" w:rsidR="00F455AB" w:rsidRDefault="00F455AB" w:rsidP="003D67CC">
      <w:pPr>
        <w:pStyle w:val="Odstavecseseznamem"/>
        <w:spacing w:after="0" w:line="240" w:lineRule="auto"/>
        <w:ind w:left="397"/>
        <w:jc w:val="both"/>
        <w:rPr>
          <w:rFonts w:ascii="Arial" w:hAnsi="Arial" w:cs="Arial"/>
        </w:rPr>
      </w:pPr>
      <w:r>
        <w:rPr>
          <w:rFonts w:ascii="Arial" w:hAnsi="Arial" w:cs="Arial"/>
        </w:rPr>
        <w:t>e) nájemné nebytových prostor</w:t>
      </w:r>
    </w:p>
    <w:p w14:paraId="238C7C56" w14:textId="027B97FF" w:rsidR="00F455AB" w:rsidRPr="00B20D72" w:rsidRDefault="00F455AB" w:rsidP="003D67CC">
      <w:pPr>
        <w:pStyle w:val="Odstavecseseznamem"/>
        <w:spacing w:after="0" w:line="240" w:lineRule="auto"/>
        <w:ind w:left="397"/>
        <w:jc w:val="both"/>
        <w:rPr>
          <w:rFonts w:ascii="Arial" w:hAnsi="Arial" w:cs="Arial"/>
        </w:rPr>
      </w:pPr>
      <w:r>
        <w:rPr>
          <w:rFonts w:ascii="Arial" w:hAnsi="Arial" w:cs="Arial"/>
        </w:rPr>
        <w:t xml:space="preserve">f) jiné – vstupy do bazénu, doprava, fotodokumentace.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551DCC6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V případě, že skutečné náklady akce budou nižší, než bylo uvedeno v žádosti, příjemce vrátí odpovídající poměrnou část poskytnuté dotace za stejných podmínek, jako jsou uvedeny v čl. IV bod 8 této smlouvy.</w:t>
      </w: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22A487FF"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F455AB">
        <w:rPr>
          <w:rFonts w:ascii="Arial" w:hAnsi="Arial" w:cs="Arial"/>
        </w:rPr>
        <w:t xml:space="preserve">126.000 </w:t>
      </w:r>
      <w:r w:rsidRPr="00227390">
        <w:rPr>
          <w:rFonts w:ascii="Arial" w:hAnsi="Arial" w:cs="Arial"/>
        </w:rPr>
        <w:t>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54A96783" w14:textId="77777777" w:rsidR="00F455AB" w:rsidRDefault="00F455AB" w:rsidP="00227390">
      <w:pPr>
        <w:pStyle w:val="Odstavecseseznamem"/>
        <w:spacing w:after="0" w:line="240" w:lineRule="auto"/>
        <w:ind w:left="397"/>
        <w:jc w:val="both"/>
        <w:rPr>
          <w:rFonts w:ascii="Arial" w:hAnsi="Arial" w:cs="Arial"/>
        </w:rPr>
      </w:pPr>
    </w:p>
    <w:p w14:paraId="0D0F90E8" w14:textId="5B072E19"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F455AB">
        <w:rPr>
          <w:rFonts w:ascii="Arial" w:hAnsi="Arial" w:cs="Arial"/>
        </w:rPr>
        <w:t xml:space="preserve">491/18Z/2025 </w:t>
      </w:r>
      <w:r w:rsidRPr="00227390">
        <w:rPr>
          <w:rFonts w:ascii="Arial" w:hAnsi="Arial" w:cs="Arial"/>
        </w:rPr>
        <w:t xml:space="preserve">dne </w:t>
      </w:r>
      <w:r w:rsidR="00F455AB">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014903EA" w:rsidR="00F051BF" w:rsidRDefault="00F051BF" w:rsidP="00AF0187">
      <w:pPr>
        <w:spacing w:after="0" w:line="240" w:lineRule="auto"/>
        <w:jc w:val="both"/>
        <w:rPr>
          <w:rFonts w:ascii="Arial" w:hAnsi="Arial" w:cs="Arial"/>
        </w:rPr>
      </w:pPr>
    </w:p>
    <w:p w14:paraId="6927E1DA" w14:textId="3A104ABA" w:rsidR="00F455AB" w:rsidRDefault="00F455AB" w:rsidP="00AF0187">
      <w:pPr>
        <w:spacing w:after="0" w:line="240" w:lineRule="auto"/>
        <w:jc w:val="both"/>
        <w:rPr>
          <w:rFonts w:ascii="Arial" w:hAnsi="Arial" w:cs="Arial"/>
        </w:rPr>
      </w:pPr>
    </w:p>
    <w:p w14:paraId="1E0FA168" w14:textId="77777777" w:rsidR="00F455AB" w:rsidRPr="006911F2" w:rsidRDefault="00F455AB" w:rsidP="00AF0187">
      <w:pPr>
        <w:spacing w:after="0" w:line="240" w:lineRule="auto"/>
        <w:jc w:val="both"/>
        <w:rPr>
          <w:rFonts w:ascii="Arial" w:hAnsi="Arial" w:cs="Arial"/>
        </w:rPr>
      </w:pPr>
    </w:p>
    <w:p w14:paraId="6F9EFC2D" w14:textId="28AF22A0" w:rsidR="00F051BF" w:rsidRPr="00420CB5" w:rsidRDefault="00A5641A" w:rsidP="009B0ACA">
      <w:pPr>
        <w:spacing w:after="0" w:line="240" w:lineRule="auto"/>
        <w:rPr>
          <w:rFonts w:ascii="Arial" w:hAnsi="Arial" w:cs="Arial"/>
        </w:rPr>
      </w:pPr>
      <w:r w:rsidRPr="00420CB5">
        <w:rPr>
          <w:rFonts w:ascii="Arial" w:hAnsi="Arial" w:cs="Arial"/>
        </w:rPr>
        <w:t>V </w:t>
      </w:r>
      <w:r w:rsidR="004F2DA3">
        <w:rPr>
          <w:rFonts w:ascii="Arial" w:hAnsi="Arial" w:cs="Arial"/>
        </w:rPr>
        <w:t>Bruntále</w:t>
      </w:r>
      <w:r w:rsidRPr="00420CB5">
        <w:rPr>
          <w:rFonts w:ascii="Arial" w:hAnsi="Arial" w:cs="Arial"/>
        </w:rPr>
        <w:t xml:space="preserve"> dne</w:t>
      </w:r>
      <w:r w:rsidR="004F2DA3">
        <w:rPr>
          <w:rFonts w:ascii="Arial" w:hAnsi="Arial" w:cs="Arial"/>
        </w:rPr>
        <w:t xml:space="preserve"> 14.05.2025</w:t>
      </w:r>
      <w:r w:rsidRPr="00420CB5">
        <w:rPr>
          <w:rFonts w:ascii="Arial" w:hAnsi="Arial" w:cs="Arial"/>
        </w:rPr>
        <w:t xml:space="preserve">                      </w:t>
      </w:r>
      <w:r w:rsidR="004F2DA3">
        <w:rPr>
          <w:rFonts w:ascii="Arial" w:hAnsi="Arial" w:cs="Arial"/>
        </w:rPr>
        <w:tab/>
      </w:r>
      <w:r w:rsidR="004F2DA3">
        <w:rPr>
          <w:rFonts w:ascii="Arial" w:hAnsi="Arial" w:cs="Arial"/>
        </w:rPr>
        <w:tab/>
      </w:r>
      <w:r w:rsidRPr="00420CB5">
        <w:rPr>
          <w:rFonts w:ascii="Arial" w:hAnsi="Arial" w:cs="Arial"/>
        </w:rPr>
        <w:t>V </w:t>
      </w:r>
      <w:r w:rsidR="009042BA">
        <w:rPr>
          <w:rFonts w:ascii="Arial" w:hAnsi="Arial" w:cs="Arial"/>
        </w:rPr>
        <w:t>Bruntále</w:t>
      </w:r>
      <w:r w:rsidR="00382D48">
        <w:rPr>
          <w:rFonts w:ascii="Arial" w:hAnsi="Arial" w:cs="Arial"/>
        </w:rPr>
        <w:t xml:space="preserve"> </w:t>
      </w:r>
      <w:r w:rsidRPr="00420CB5">
        <w:rPr>
          <w:rFonts w:ascii="Arial" w:hAnsi="Arial" w:cs="Arial"/>
        </w:rPr>
        <w:t xml:space="preserve">dne </w:t>
      </w:r>
      <w:r w:rsidR="004F2DA3">
        <w:rPr>
          <w:rFonts w:ascii="Arial" w:hAnsi="Arial" w:cs="Arial"/>
        </w:rPr>
        <w:t>14.05.2025</w:t>
      </w:r>
      <w:bookmarkStart w:id="0" w:name="_GoBack"/>
      <w:bookmarkEnd w:id="0"/>
    </w:p>
    <w:p w14:paraId="413D2D2E" w14:textId="58AFD278" w:rsidR="00F051BF" w:rsidRDefault="00F051BF" w:rsidP="009B0ACA">
      <w:pPr>
        <w:spacing w:after="0" w:line="240" w:lineRule="auto"/>
        <w:rPr>
          <w:rFonts w:ascii="Arial" w:hAnsi="Arial" w:cs="Arial"/>
        </w:rPr>
      </w:pPr>
    </w:p>
    <w:p w14:paraId="6C2A2E91" w14:textId="29495CE0" w:rsidR="00F455AB" w:rsidRDefault="00F455AB" w:rsidP="009B0ACA">
      <w:pPr>
        <w:spacing w:after="0" w:line="240" w:lineRule="auto"/>
        <w:rPr>
          <w:rFonts w:ascii="Arial" w:hAnsi="Arial" w:cs="Arial"/>
        </w:rPr>
      </w:pPr>
    </w:p>
    <w:p w14:paraId="7E7CBBF0" w14:textId="77777777" w:rsidR="00F455AB" w:rsidRPr="00420CB5" w:rsidRDefault="00F455AB" w:rsidP="009B0ACA">
      <w:pPr>
        <w:spacing w:after="0" w:line="240" w:lineRule="auto"/>
        <w:rPr>
          <w:rFonts w:ascii="Arial" w:hAnsi="Arial" w:cs="Arial"/>
        </w:rPr>
      </w:pPr>
    </w:p>
    <w:p w14:paraId="1A5DE027" w14:textId="77777777" w:rsidR="009042BA" w:rsidRDefault="009042BA" w:rsidP="00010220">
      <w:pPr>
        <w:spacing w:after="0" w:line="240" w:lineRule="auto"/>
        <w:rPr>
          <w:rFonts w:ascii="Arial" w:hAnsi="Arial" w:cs="Arial"/>
        </w:rPr>
      </w:pPr>
    </w:p>
    <w:p w14:paraId="567E893F" w14:textId="77777777" w:rsidR="009042BA" w:rsidRDefault="009042BA" w:rsidP="00010220">
      <w:pPr>
        <w:spacing w:after="0" w:line="240" w:lineRule="auto"/>
        <w:rPr>
          <w:rFonts w:ascii="Arial" w:hAnsi="Arial" w:cs="Arial"/>
        </w:rPr>
      </w:pPr>
    </w:p>
    <w:p w14:paraId="4E4E9223" w14:textId="77777777" w:rsidR="009042BA" w:rsidRDefault="009042BA" w:rsidP="00010220">
      <w:pPr>
        <w:spacing w:after="0" w:line="240" w:lineRule="auto"/>
        <w:rPr>
          <w:rFonts w:ascii="Arial" w:hAnsi="Arial" w:cs="Arial"/>
        </w:rPr>
      </w:pPr>
    </w:p>
    <w:p w14:paraId="4C13BFE2" w14:textId="4F641A37" w:rsidR="0066716E"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114F0E16" w:rsidR="0087475B" w:rsidRPr="00420CB5" w:rsidRDefault="001936EB" w:rsidP="0066716E">
      <w:pPr>
        <w:spacing w:after="0" w:line="240" w:lineRule="auto"/>
        <w:rPr>
          <w:rFonts w:ascii="Tahoma" w:hAnsi="Tahoma" w:cs="Tahoma"/>
          <w:color w:val="FF0000"/>
        </w:rPr>
      </w:pPr>
      <w:r>
        <w:rPr>
          <w:rFonts w:ascii="Arial" w:hAnsi="Arial" w:cs="Arial"/>
        </w:rPr>
        <w:t>XXXXXXXXXXX</w:t>
      </w:r>
      <w:r w:rsidR="0066716E">
        <w:rPr>
          <w:rFonts w:ascii="Arial" w:hAnsi="Arial" w:cs="Arial"/>
        </w:rPr>
        <w:tab/>
      </w:r>
      <w:r w:rsidR="0066716E">
        <w:rPr>
          <w:rFonts w:ascii="Arial" w:hAnsi="Arial" w:cs="Arial"/>
        </w:rPr>
        <w:tab/>
      </w:r>
      <w:r w:rsidR="0066716E">
        <w:rPr>
          <w:rFonts w:ascii="Arial" w:hAnsi="Arial" w:cs="Arial"/>
        </w:rPr>
        <w:tab/>
      </w:r>
      <w:r w:rsidR="0066716E">
        <w:rPr>
          <w:rFonts w:ascii="Arial" w:hAnsi="Arial" w:cs="Arial"/>
        </w:rPr>
        <w:tab/>
      </w:r>
      <w:r w:rsidR="0066716E">
        <w:rPr>
          <w:rFonts w:ascii="Arial" w:hAnsi="Arial" w:cs="Arial"/>
        </w:rPr>
        <w:tab/>
      </w:r>
      <w:r w:rsidR="00B74C13" w:rsidRPr="00420CB5">
        <w:rPr>
          <w:rFonts w:ascii="Arial" w:hAnsi="Arial" w:cs="Arial"/>
        </w:rPr>
        <w:t>Rad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04852"/>
    <w:rsid w:val="001273A3"/>
    <w:rsid w:val="00182D0D"/>
    <w:rsid w:val="00192513"/>
    <w:rsid w:val="001936EB"/>
    <w:rsid w:val="001A2FC9"/>
    <w:rsid w:val="001A3647"/>
    <w:rsid w:val="00227390"/>
    <w:rsid w:val="00256413"/>
    <w:rsid w:val="00265ACE"/>
    <w:rsid w:val="00277FD8"/>
    <w:rsid w:val="002A7C77"/>
    <w:rsid w:val="002B1247"/>
    <w:rsid w:val="002D1455"/>
    <w:rsid w:val="002E61AF"/>
    <w:rsid w:val="002F1BB9"/>
    <w:rsid w:val="003155DD"/>
    <w:rsid w:val="003611AD"/>
    <w:rsid w:val="00362727"/>
    <w:rsid w:val="00381A66"/>
    <w:rsid w:val="00382D48"/>
    <w:rsid w:val="003D135D"/>
    <w:rsid w:val="003D67CC"/>
    <w:rsid w:val="003E2A7B"/>
    <w:rsid w:val="003E2F28"/>
    <w:rsid w:val="00412C2D"/>
    <w:rsid w:val="00416558"/>
    <w:rsid w:val="00420CB5"/>
    <w:rsid w:val="00425DE9"/>
    <w:rsid w:val="004577FF"/>
    <w:rsid w:val="004F2DA3"/>
    <w:rsid w:val="005176FB"/>
    <w:rsid w:val="00521360"/>
    <w:rsid w:val="00534529"/>
    <w:rsid w:val="005466D6"/>
    <w:rsid w:val="005616F3"/>
    <w:rsid w:val="005872A9"/>
    <w:rsid w:val="005B1DC2"/>
    <w:rsid w:val="005F0776"/>
    <w:rsid w:val="005F2FFC"/>
    <w:rsid w:val="005F3966"/>
    <w:rsid w:val="006317EA"/>
    <w:rsid w:val="00651F90"/>
    <w:rsid w:val="00660A7A"/>
    <w:rsid w:val="00666717"/>
    <w:rsid w:val="0066716E"/>
    <w:rsid w:val="00670B39"/>
    <w:rsid w:val="00674E28"/>
    <w:rsid w:val="006860E4"/>
    <w:rsid w:val="006911F2"/>
    <w:rsid w:val="006979D5"/>
    <w:rsid w:val="006A6A85"/>
    <w:rsid w:val="006F0896"/>
    <w:rsid w:val="00714878"/>
    <w:rsid w:val="00750C40"/>
    <w:rsid w:val="00783E56"/>
    <w:rsid w:val="007B68F1"/>
    <w:rsid w:val="007C21FB"/>
    <w:rsid w:val="007E240D"/>
    <w:rsid w:val="00820B03"/>
    <w:rsid w:val="00833A64"/>
    <w:rsid w:val="0083621B"/>
    <w:rsid w:val="0084483A"/>
    <w:rsid w:val="008565E1"/>
    <w:rsid w:val="0087475B"/>
    <w:rsid w:val="00880447"/>
    <w:rsid w:val="00892FC4"/>
    <w:rsid w:val="009042BA"/>
    <w:rsid w:val="00932B94"/>
    <w:rsid w:val="00937D4D"/>
    <w:rsid w:val="009400AC"/>
    <w:rsid w:val="00963242"/>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5C1A"/>
    <w:rsid w:val="00CD63EE"/>
    <w:rsid w:val="00CD6E1A"/>
    <w:rsid w:val="00D078D8"/>
    <w:rsid w:val="00D828BD"/>
    <w:rsid w:val="00DA494B"/>
    <w:rsid w:val="00DA4F04"/>
    <w:rsid w:val="00E008E3"/>
    <w:rsid w:val="00E2327E"/>
    <w:rsid w:val="00E24537"/>
    <w:rsid w:val="00E3133E"/>
    <w:rsid w:val="00E37971"/>
    <w:rsid w:val="00E46107"/>
    <w:rsid w:val="00E8239C"/>
    <w:rsid w:val="00E95462"/>
    <w:rsid w:val="00E95669"/>
    <w:rsid w:val="00E96A32"/>
    <w:rsid w:val="00EB6769"/>
    <w:rsid w:val="00ED25CA"/>
    <w:rsid w:val="00EF691D"/>
    <w:rsid w:val="00F051BF"/>
    <w:rsid w:val="00F057A4"/>
    <w:rsid w:val="00F455AB"/>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8624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4</cp:revision>
  <cp:lastPrinted>2025-05-02T06:48:00Z</cp:lastPrinted>
  <dcterms:created xsi:type="dcterms:W3CDTF">2025-05-14T10:26:00Z</dcterms:created>
  <dcterms:modified xsi:type="dcterms:W3CDTF">2025-05-14T10:33:00Z</dcterms:modified>
</cp:coreProperties>
</file>