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5230400020</w:t>
      </w:r>
    </w:p>
    <w:p>
      <w:pPr>
        <w:spacing w:line="425" w:lineRule="exact" w:before="2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382"/>
        <w:jc w:val="left"/>
      </w:pPr>
      <w:r>
        <w:rPr/>
        <w:t>Lesy</w:t>
      </w:r>
      <w:r>
        <w:rPr>
          <w:spacing w:val="-8"/>
        </w:rPr>
        <w:t> </w:t>
      </w:r>
      <w:r>
        <w:rPr/>
        <w:t>České</w:t>
      </w:r>
      <w:r>
        <w:rPr>
          <w:spacing w:val="-8"/>
        </w:rPr>
        <w:t> </w:t>
      </w:r>
      <w:r>
        <w:rPr/>
        <w:t>republiky,</w:t>
      </w:r>
      <w:r>
        <w:rPr>
          <w:spacing w:val="-7"/>
        </w:rPr>
        <w:t> </w:t>
      </w:r>
      <w:r>
        <w:rPr>
          <w:spacing w:val="-4"/>
        </w:rPr>
        <w:t>s.p.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4"/>
        </w:rPr>
        <w:t> </w:t>
      </w:r>
      <w:r>
        <w:rPr>
          <w:spacing w:val="-2"/>
        </w:rPr>
        <w:t>sídlem:</w:t>
      </w:r>
      <w:r>
        <w:rPr/>
        <w:tab/>
        <w:t>Hradec</w:t>
      </w:r>
      <w:r>
        <w:rPr>
          <w:spacing w:val="-8"/>
        </w:rPr>
        <w:t> </w:t>
      </w:r>
      <w:r>
        <w:rPr/>
        <w:t>Králové,</w:t>
      </w:r>
      <w:r>
        <w:rPr>
          <w:spacing w:val="-7"/>
        </w:rPr>
        <w:t> </w:t>
      </w:r>
      <w:r>
        <w:rPr/>
        <w:t>Nový</w:t>
      </w:r>
      <w:r>
        <w:rPr>
          <w:spacing w:val="-6"/>
        </w:rPr>
        <w:t> </w:t>
      </w:r>
      <w:r>
        <w:rPr/>
        <w:t>Hradec</w:t>
      </w:r>
      <w:r>
        <w:rPr>
          <w:spacing w:val="-8"/>
        </w:rPr>
        <w:t> </w:t>
      </w:r>
      <w:r>
        <w:rPr/>
        <w:t>Králové,</w:t>
      </w:r>
      <w:r>
        <w:rPr>
          <w:spacing w:val="-7"/>
        </w:rPr>
        <w:t> </w:t>
      </w:r>
      <w:r>
        <w:rPr/>
        <w:t>Přemyslova</w:t>
      </w:r>
      <w:r>
        <w:rPr>
          <w:spacing w:val="-6"/>
        </w:rPr>
        <w:t> </w:t>
      </w:r>
      <w:r>
        <w:rPr/>
        <w:t>1106/19,</w:t>
      </w:r>
      <w:r>
        <w:rPr>
          <w:spacing w:val="-7"/>
        </w:rPr>
        <w:t> </w:t>
      </w:r>
      <w:r>
        <w:rPr/>
        <w:t>500</w:t>
      </w:r>
      <w:r>
        <w:rPr>
          <w:spacing w:val="-1"/>
        </w:rPr>
        <w:t> </w:t>
      </w:r>
      <w:r>
        <w:rPr>
          <w:spacing w:val="-5"/>
        </w:rPr>
        <w:t>08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42196451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14"/>
        </w:rPr>
        <w:t> </w:t>
      </w:r>
      <w:r>
        <w:rPr/>
        <w:t>Daliborem</w:t>
      </w:r>
      <w:r>
        <w:rPr>
          <w:spacing w:val="-14"/>
        </w:rPr>
        <w:t> </w:t>
      </w:r>
      <w:r>
        <w:rPr/>
        <w:t>Š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f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ř</w:t>
      </w:r>
      <w:r>
        <w:rPr>
          <w:spacing w:val="-14"/>
        </w:rPr>
        <w:t> </w:t>
      </w:r>
      <w:r>
        <w:rPr/>
        <w:t>í</w:t>
      </w:r>
      <w:r>
        <w:rPr>
          <w:spacing w:val="-15"/>
        </w:rPr>
        <w:t> </w:t>
      </w:r>
      <w:r>
        <w:rPr/>
        <w:t>k</w:t>
      </w:r>
      <w:r>
        <w:rPr>
          <w:spacing w:val="-15"/>
        </w:rPr>
        <w:t> </w:t>
      </w:r>
      <w:r>
        <w:rPr/>
        <w:t>e</w:t>
      </w:r>
      <w:r>
        <w:rPr>
          <w:spacing w:val="-16"/>
        </w:rPr>
        <w:t> </w:t>
      </w:r>
      <w:r>
        <w:rPr/>
        <w:t>m</w:t>
      </w:r>
      <w:r>
        <w:rPr>
          <w:spacing w:val="-14"/>
        </w:rPr>
        <w:t> </w:t>
      </w:r>
      <w:r>
        <w:rPr/>
        <w:t>,</w:t>
      </w:r>
      <w:r>
        <w:rPr>
          <w:spacing w:val="-8"/>
        </w:rPr>
        <w:t> </w:t>
      </w:r>
      <w:r>
        <w:rPr/>
        <w:t>Ph.D.,</w:t>
      </w:r>
      <w:r>
        <w:rPr>
          <w:spacing w:val="-5"/>
        </w:rPr>
        <w:t> </w:t>
      </w:r>
      <w:r>
        <w:rPr/>
        <w:t>generálním</w:t>
      </w:r>
      <w:r>
        <w:rPr>
          <w:spacing w:val="-4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0-</w:t>
      </w:r>
      <w:r>
        <w:rPr>
          <w:spacing w:val="-2"/>
        </w:rPr>
        <w:t>7409511/0710</w:t>
      </w:r>
    </w:p>
    <w:p>
      <w:pPr>
        <w:pStyle w:val="BodyText"/>
        <w:spacing w:before="1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jc w:val="left"/>
        <w:rPr>
          <w:sz w:val="35"/>
        </w:rPr>
      </w:pPr>
    </w:p>
    <w:p>
      <w:pPr>
        <w:pStyle w:val="Heading1"/>
        <w:ind w:right="1057"/>
      </w:pPr>
      <w:r>
        <w:rPr>
          <w:spacing w:val="-5"/>
        </w:rPr>
        <w:t>I.</w:t>
      </w:r>
    </w:p>
    <w:p>
      <w:pPr>
        <w:pStyle w:val="Heading2"/>
        <w:spacing w:before="1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</w:pPr>
      <w:r>
        <w:rPr/>
        <w:t>„Smlouva“) se uzavírá na základě Rozhodnutí ministra životního prostředí č. 5230400020 o poskytnutí finančních prostředků ze Státního fondu životního prostředí ČR ze dne 27.</w:t>
      </w:r>
      <w:r>
        <w:rPr>
          <w:spacing w:val="-2"/>
        </w:rPr>
        <w:t> </w:t>
      </w:r>
      <w:r>
        <w:rPr/>
        <w:t>11.</w:t>
      </w:r>
      <w:r>
        <w:rPr>
          <w:spacing w:val="-1"/>
        </w:rPr>
        <w:t> </w:t>
      </w:r>
      <w:r>
        <w:rPr/>
        <w:t>2024 a Směrnice Ministerstva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5"/>
        </w:rPr>
        <w:t> </w:t>
      </w:r>
      <w:r>
        <w:rPr/>
        <w:t>č.</w:t>
      </w:r>
      <w:r>
        <w:rPr>
          <w:spacing w:val="-3"/>
        </w:rPr>
        <w:t> </w:t>
      </w:r>
      <w:r>
        <w:rPr/>
        <w:t>4/2015,</w:t>
      </w:r>
      <w:r>
        <w:rPr>
          <w:spacing w:val="-6"/>
        </w:rPr>
        <w:t> </w:t>
      </w:r>
      <w:r>
        <w:rPr/>
        <w:t>resp.</w:t>
      </w:r>
      <w:r>
        <w:rPr>
          <w:spacing w:val="-5"/>
        </w:rPr>
        <w:t> </w:t>
      </w:r>
      <w:r>
        <w:rPr/>
        <w:t>6/2024</w:t>
      </w:r>
      <w:r>
        <w:rPr>
          <w:spacing w:val="-2"/>
        </w:rPr>
        <w:t> </w:t>
      </w:r>
      <w:r>
        <w:rPr/>
        <w:t>o</w:t>
      </w:r>
      <w:r>
        <w:rPr>
          <w:spacing w:val="-5"/>
        </w:rPr>
        <w:t> </w:t>
      </w:r>
      <w:r>
        <w:rPr/>
        <w:t>poskytování</w:t>
      </w:r>
      <w:r>
        <w:rPr>
          <w:spacing w:val="-6"/>
        </w:rPr>
        <w:t> </w:t>
      </w:r>
      <w:r>
        <w:rPr/>
        <w:t>finančních</w:t>
      </w:r>
      <w:r>
        <w:rPr>
          <w:spacing w:val="-5"/>
        </w:rPr>
        <w:t> </w:t>
      </w:r>
      <w:r>
        <w:rPr/>
        <w:t>prostředků</w:t>
      </w:r>
      <w:r>
        <w:rPr>
          <w:spacing w:val="-5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 fondu životního 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25"/>
          <w:sz w:val="20"/>
        </w:rPr>
        <w:t> </w:t>
      </w:r>
      <w:r>
        <w:rPr>
          <w:sz w:val="20"/>
        </w:rPr>
        <w:t>č.</w:t>
      </w:r>
      <w:r>
        <w:rPr>
          <w:spacing w:val="14"/>
          <w:sz w:val="20"/>
        </w:rPr>
        <w:t> </w:t>
      </w:r>
      <w:r>
        <w:rPr>
          <w:sz w:val="20"/>
        </w:rPr>
        <w:t>4/2023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2816"/>
        <w:jc w:val="left"/>
      </w:pPr>
      <w:r>
        <w:rPr/>
        <w:t>„Revitalizace</w:t>
      </w:r>
      <w:r>
        <w:rPr>
          <w:spacing w:val="-8"/>
        </w:rPr>
        <w:t> </w:t>
      </w:r>
      <w:r>
        <w:rPr/>
        <w:t>Hruškovice,</w:t>
      </w:r>
      <w:r>
        <w:rPr>
          <w:spacing w:val="-8"/>
        </w:rPr>
        <w:t> </w:t>
      </w:r>
      <w:r>
        <w:rPr/>
        <w:t>k.ú.</w:t>
      </w:r>
      <w:r>
        <w:rPr>
          <w:spacing w:val="-7"/>
        </w:rPr>
        <w:t> </w:t>
      </w:r>
      <w:r>
        <w:rPr/>
        <w:t>Žádovice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k.ú.</w:t>
      </w:r>
      <w:r>
        <w:rPr>
          <w:spacing w:val="-8"/>
        </w:rPr>
        <w:t> </w:t>
      </w:r>
      <w:r>
        <w:rPr>
          <w:spacing w:val="-2"/>
        </w:rPr>
        <w:t>Ježov“</w:t>
      </w:r>
    </w:p>
    <w:p>
      <w:pPr>
        <w:pStyle w:val="BodyText"/>
        <w:spacing w:before="121"/>
        <w:ind w:left="741"/>
        <w:jc w:val="lef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Heading1"/>
        <w:spacing w:before="175"/>
        <w:ind w:right="1057"/>
      </w:pPr>
      <w:r>
        <w:rPr>
          <w:spacing w:val="-5"/>
        </w:rPr>
        <w:t>II.</w:t>
      </w:r>
    </w:p>
    <w:p>
      <w:pPr>
        <w:pStyle w:val="Heading2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poskytnout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1"/>
          <w:sz w:val="20"/>
        </w:rPr>
        <w:t> </w:t>
      </w:r>
      <w:r>
        <w:rPr>
          <w:sz w:val="20"/>
        </w:rPr>
        <w:t>podpory podporu</w:t>
      </w:r>
      <w:r>
        <w:rPr>
          <w:spacing w:val="-1"/>
          <w:sz w:val="20"/>
        </w:rPr>
        <w:t> </w:t>
      </w:r>
      <w:r>
        <w:rPr>
          <w:sz w:val="20"/>
        </w:rPr>
        <w:t>formou dotace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výši</w:t>
      </w:r>
      <w:r>
        <w:rPr>
          <w:spacing w:val="5"/>
          <w:sz w:val="20"/>
        </w:rPr>
        <w:t> </w:t>
      </w:r>
      <w:r>
        <w:rPr>
          <w:b/>
          <w:sz w:val="20"/>
        </w:rPr>
        <w:t>5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893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249,94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Kč </w:t>
      </w:r>
      <w:r>
        <w:rPr>
          <w:spacing w:val="-2"/>
          <w:sz w:val="20"/>
        </w:rPr>
        <w:t>(slovy:</w:t>
      </w:r>
    </w:p>
    <w:p>
      <w:pPr>
        <w:pStyle w:val="BodyText"/>
        <w:spacing w:before="1"/>
      </w:pPr>
      <w:r>
        <w:rPr/>
        <w:t>pět</w:t>
      </w:r>
      <w:r>
        <w:rPr>
          <w:spacing w:val="-6"/>
        </w:rPr>
        <w:t> </w:t>
      </w:r>
      <w:r>
        <w:rPr/>
        <w:t>milionů</w:t>
      </w:r>
      <w:r>
        <w:rPr>
          <w:spacing w:val="-6"/>
        </w:rPr>
        <w:t> </w:t>
      </w:r>
      <w:r>
        <w:rPr/>
        <w:t>osm</w:t>
      </w:r>
      <w:r>
        <w:rPr>
          <w:spacing w:val="-5"/>
        </w:rPr>
        <w:t> </w:t>
      </w:r>
      <w:r>
        <w:rPr/>
        <w:t>set</w:t>
      </w:r>
      <w:r>
        <w:rPr>
          <w:spacing w:val="-6"/>
        </w:rPr>
        <w:t> </w:t>
      </w:r>
      <w:r>
        <w:rPr/>
        <w:t>devadesát</w:t>
      </w:r>
      <w:r>
        <w:rPr>
          <w:spacing w:val="-6"/>
        </w:rPr>
        <w:t> </w:t>
      </w:r>
      <w:r>
        <w:rPr/>
        <w:t>tři</w:t>
      </w:r>
      <w:r>
        <w:rPr>
          <w:spacing w:val="-5"/>
        </w:rPr>
        <w:t> </w:t>
      </w:r>
      <w:r>
        <w:rPr/>
        <w:t>tisíc</w:t>
      </w:r>
      <w:r>
        <w:rPr>
          <w:spacing w:val="-6"/>
        </w:rPr>
        <w:t> </w:t>
      </w:r>
      <w:r>
        <w:rPr/>
        <w:t>dvě</w:t>
      </w:r>
      <w:r>
        <w:rPr>
          <w:spacing w:val="-6"/>
        </w:rPr>
        <w:t> </w:t>
      </w:r>
      <w:r>
        <w:rPr/>
        <w:t>stě</w:t>
      </w:r>
      <w:r>
        <w:rPr>
          <w:spacing w:val="-6"/>
        </w:rPr>
        <w:t> </w:t>
      </w:r>
      <w:r>
        <w:rPr/>
        <w:t>čtyřicet</w:t>
      </w:r>
      <w:r>
        <w:rPr>
          <w:spacing w:val="-6"/>
        </w:rPr>
        <w:t> </w:t>
      </w:r>
      <w:r>
        <w:rPr/>
        <w:t>devět</w:t>
      </w:r>
      <w:r>
        <w:rPr>
          <w:spacing w:val="-4"/>
        </w:rPr>
        <w:t> </w:t>
      </w:r>
      <w:r>
        <w:rPr/>
        <w:t>korun</w:t>
      </w:r>
      <w:r>
        <w:rPr>
          <w:spacing w:val="-5"/>
        </w:rPr>
        <w:t> </w:t>
      </w:r>
      <w:r>
        <w:rPr/>
        <w:t>českých</w:t>
      </w:r>
      <w:r>
        <w:rPr>
          <w:spacing w:val="-5"/>
        </w:rPr>
        <w:t> </w:t>
      </w:r>
      <w:r>
        <w:rPr/>
        <w:t>devadesát</w:t>
      </w:r>
      <w:r>
        <w:rPr>
          <w:spacing w:val="-6"/>
        </w:rPr>
        <w:t> </w:t>
      </w:r>
      <w:r>
        <w:rPr/>
        <w:t>čtyři</w:t>
      </w:r>
      <w:r>
        <w:rPr>
          <w:spacing w:val="-5"/>
        </w:rPr>
        <w:t> </w:t>
      </w:r>
      <w:r>
        <w:rPr>
          <w:spacing w:val="-2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5 893 249,94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100,00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zdrojů. V</w:t>
      </w:r>
      <w:r>
        <w:rPr>
          <w:spacing w:val="-2"/>
          <w:sz w:val="20"/>
        </w:rPr>
        <w:t> </w:t>
      </w:r>
      <w:r>
        <w:rPr>
          <w:sz w:val="20"/>
        </w:rPr>
        <w:t>případě, že dojde po uzavření této Smlouvy ke změně základu pro stanovení podpory podle bodu 2 nebo procentního podílu ze základu pro stanovení podpory podle bodu 3, dodatek k</w:t>
      </w:r>
      <w:r>
        <w:rPr>
          <w:spacing w:val="-2"/>
          <w:sz w:val="20"/>
        </w:rPr>
        <w:t> </w:t>
      </w:r>
      <w:r>
        <w:rPr>
          <w:sz w:val="20"/>
        </w:rPr>
        <w:t>této Smlouvě se neuzavírá, pokud nedojde současně ke změně podpory formou dotace podle bodu 1.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18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výdajů, které vznikly a byly uhrazeny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before="1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4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1"/>
          <w:sz w:val="20"/>
        </w:rPr>
        <w:t> </w:t>
      </w:r>
      <w:r>
        <w:rPr>
          <w:sz w:val="20"/>
        </w:rPr>
        <w:t>určování</w:t>
      </w:r>
      <w:r>
        <w:rPr>
          <w:spacing w:val="-12"/>
          <w:sz w:val="20"/>
        </w:rPr>
        <w:t> </w:t>
      </w:r>
      <w:r>
        <w:rPr>
          <w:sz w:val="20"/>
        </w:rPr>
        <w:t>způsobilých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nich</w:t>
      </w:r>
      <w:r>
        <w:rPr>
          <w:spacing w:val="-11"/>
          <w:sz w:val="20"/>
        </w:rPr>
        <w:t> </w:t>
      </w:r>
      <w:r>
        <w:rPr>
          <w:sz w:val="20"/>
        </w:rPr>
        <w:t>odvozené</w:t>
      </w:r>
      <w:r>
        <w:rPr>
          <w:spacing w:val="-10"/>
          <w:sz w:val="20"/>
        </w:rPr>
        <w:t> </w:t>
      </w:r>
      <w:r>
        <w:rPr>
          <w:sz w:val="20"/>
        </w:rPr>
        <w:t>výše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vycházet</w:t>
      </w:r>
      <w:r>
        <w:rPr>
          <w:spacing w:val="-12"/>
          <w:sz w:val="20"/>
        </w:rPr>
        <w:t> </w:t>
      </w:r>
      <w:r>
        <w:rPr>
          <w:sz w:val="20"/>
        </w:rPr>
        <w:t>ze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9</w:t>
      </w:r>
    </w:p>
    <w:p>
      <w:pPr>
        <w:pStyle w:val="BodyText"/>
        <w:spacing w:before="1"/>
        <w:jc w:val="left"/>
      </w:pPr>
      <w:r>
        <w:rPr>
          <w:spacing w:val="-2"/>
        </w:rPr>
        <w:t>Výzvy.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spacing w:before="1"/>
        <w:ind w:right="106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poskytovat</w:t>
      </w:r>
      <w:r>
        <w:rPr>
          <w:spacing w:val="-3"/>
          <w:sz w:val="20"/>
        </w:rPr>
        <w:t> </w:t>
      </w:r>
      <w:r>
        <w:rPr>
          <w:sz w:val="20"/>
        </w:rPr>
        <w:t>finanční</w:t>
      </w:r>
      <w:r>
        <w:rPr>
          <w:spacing w:val="-5"/>
          <w:sz w:val="20"/>
        </w:rPr>
        <w:t> </w:t>
      </w:r>
      <w:r>
        <w:rPr>
          <w:sz w:val="20"/>
        </w:rPr>
        <w:t>prostředky</w:t>
      </w:r>
      <w:r>
        <w:rPr>
          <w:spacing w:val="-5"/>
          <w:sz w:val="20"/>
        </w:rPr>
        <w:t> </w:t>
      </w:r>
      <w:r>
        <w:rPr>
          <w:sz w:val="20"/>
        </w:rPr>
        <w:t>postupem</w:t>
      </w:r>
      <w:r>
        <w:rPr>
          <w:spacing w:val="-1"/>
          <w:sz w:val="20"/>
        </w:rPr>
        <w:t> </w:t>
      </w:r>
      <w:r>
        <w:rPr>
          <w:sz w:val="20"/>
        </w:rPr>
        <w:t>stanoveným touto</w:t>
      </w:r>
      <w:r>
        <w:rPr>
          <w:spacing w:val="-1"/>
          <w:sz w:val="20"/>
        </w:rPr>
        <w:t> </w:t>
      </w:r>
      <w:r>
        <w:rPr>
          <w:sz w:val="20"/>
        </w:rPr>
        <w:t>Smlouvou</w:t>
      </w:r>
      <w:r>
        <w:rPr>
          <w:spacing w:val="-2"/>
          <w:sz w:val="20"/>
        </w:rPr>
        <w:t> </w:t>
      </w:r>
      <w:r>
        <w:rPr>
          <w:sz w:val="20"/>
        </w:rPr>
        <w:t>tak,</w:t>
      </w:r>
      <w:r>
        <w:rPr>
          <w:spacing w:val="-2"/>
          <w:sz w:val="20"/>
        </w:rPr>
        <w:t> </w:t>
      </w:r>
      <w:r>
        <w:rPr>
          <w:sz w:val="20"/>
        </w:rPr>
        <w:t>aby</w:t>
      </w:r>
      <w:r>
        <w:rPr>
          <w:spacing w:val="-3"/>
          <w:sz w:val="20"/>
        </w:rPr>
        <w:t> </w:t>
      </w:r>
      <w:r>
        <w:rPr>
          <w:sz w:val="20"/>
        </w:rPr>
        <w:t>byl</w:t>
      </w:r>
      <w:r>
        <w:rPr>
          <w:spacing w:val="-5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</w:t>
      </w:r>
      <w:r>
        <w:rPr>
          <w:spacing w:val="-2"/>
          <w:sz w:val="20"/>
        </w:rPr>
        <w:t> </w:t>
      </w:r>
      <w:r>
        <w:rPr>
          <w:sz w:val="20"/>
        </w:rPr>
        <w:t>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6" w:hanging="425"/>
        <w:jc w:val="both"/>
        <w:rPr>
          <w:sz w:val="20"/>
        </w:rPr>
      </w:pPr>
      <w:r>
        <w:rPr>
          <w:sz w:val="20"/>
        </w:rPr>
        <w:t>Fondu mohou být předloženy pouze uhrazené faktury</w:t>
      </w:r>
      <w:r>
        <w:rPr>
          <w:spacing w:val="12"/>
          <w:sz w:val="20"/>
        </w:rPr>
        <w:t> </w:t>
      </w:r>
      <w:r>
        <w:rPr>
          <w:sz w:val="20"/>
        </w:rPr>
        <w:t>či jiné účetní doklady definované výzvou, spolu</w:t>
      </w:r>
      <w:r>
        <w:rPr>
          <w:spacing w:val="80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24"/>
          <w:sz w:val="20"/>
        </w:rPr>
        <w:t> </w:t>
      </w:r>
      <w:r>
        <w:rPr>
          <w:sz w:val="20"/>
        </w:rPr>
        <w:t>o</w:t>
      </w:r>
      <w:r>
        <w:rPr>
          <w:spacing w:val="25"/>
          <w:sz w:val="20"/>
        </w:rPr>
        <w:t> </w:t>
      </w:r>
      <w:r>
        <w:rPr>
          <w:sz w:val="20"/>
        </w:rPr>
        <w:t>úhradě.</w:t>
      </w:r>
      <w:r>
        <w:rPr>
          <w:spacing w:val="24"/>
          <w:sz w:val="20"/>
        </w:rPr>
        <w:t> </w:t>
      </w:r>
      <w:r>
        <w:rPr>
          <w:sz w:val="20"/>
        </w:rPr>
        <w:t>Je-li</w:t>
      </w:r>
      <w:r>
        <w:rPr>
          <w:spacing w:val="25"/>
          <w:sz w:val="20"/>
        </w:rPr>
        <w:t> </w:t>
      </w:r>
      <w:r>
        <w:rPr>
          <w:sz w:val="20"/>
        </w:rPr>
        <w:t>to</w:t>
      </w:r>
      <w:r>
        <w:rPr>
          <w:spacing w:val="25"/>
          <w:sz w:val="20"/>
        </w:rPr>
        <w:t> </w:t>
      </w:r>
      <w:r>
        <w:rPr>
          <w:sz w:val="20"/>
        </w:rPr>
        <w:t>relevantní,</w:t>
      </w:r>
      <w:r>
        <w:rPr>
          <w:spacing w:val="24"/>
          <w:sz w:val="20"/>
        </w:rPr>
        <w:t> </w:t>
      </w:r>
      <w:r>
        <w:rPr>
          <w:sz w:val="20"/>
        </w:rPr>
        <w:t>Fond</w:t>
      </w:r>
      <w:r>
        <w:rPr>
          <w:spacing w:val="24"/>
          <w:sz w:val="20"/>
        </w:rPr>
        <w:t> </w:t>
      </w:r>
      <w:r>
        <w:rPr>
          <w:sz w:val="20"/>
        </w:rPr>
        <w:t>akceptuje</w:t>
      </w:r>
      <w:r>
        <w:rPr>
          <w:spacing w:val="23"/>
          <w:sz w:val="20"/>
        </w:rPr>
        <w:t> </w:t>
      </w:r>
      <w:r>
        <w:rPr>
          <w:sz w:val="20"/>
        </w:rPr>
        <w:t>předložení</w:t>
      </w:r>
      <w:r>
        <w:rPr>
          <w:spacing w:val="26"/>
          <w:sz w:val="20"/>
        </w:rPr>
        <w:t> </w:t>
      </w:r>
      <w:r>
        <w:rPr>
          <w:sz w:val="20"/>
        </w:rPr>
        <w:t>faktur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4"/>
          <w:sz w:val="20"/>
        </w:rPr>
        <w:t> </w:t>
      </w:r>
      <w:r>
        <w:rPr>
          <w:sz w:val="20"/>
        </w:rPr>
        <w:t>jiných</w:t>
      </w:r>
      <w:r>
        <w:rPr>
          <w:spacing w:val="24"/>
          <w:sz w:val="20"/>
        </w:rPr>
        <w:t> </w:t>
      </w:r>
      <w:r>
        <w:rPr>
          <w:sz w:val="20"/>
        </w:rPr>
        <w:t>účetních</w:t>
      </w:r>
      <w:r>
        <w:rPr>
          <w:spacing w:val="26"/>
          <w:sz w:val="20"/>
        </w:rPr>
        <w:t> </w:t>
      </w:r>
      <w:r>
        <w:rPr>
          <w:sz w:val="20"/>
        </w:rPr>
        <w:t>dokladů</w:t>
      </w:r>
      <w:r>
        <w:rPr>
          <w:spacing w:val="24"/>
          <w:sz w:val="20"/>
        </w:rPr>
        <w:t> </w:t>
      </w:r>
      <w:r>
        <w:rPr>
          <w:sz w:val="20"/>
        </w:rPr>
        <w:t>i z</w:t>
      </w:r>
      <w:r>
        <w:rPr>
          <w:spacing w:val="-1"/>
          <w:sz w:val="20"/>
        </w:rPr>
        <w:t> </w:t>
      </w:r>
      <w:r>
        <w:rPr>
          <w:sz w:val="20"/>
        </w:rPr>
        <w:t>roku předcházejícího uvolnění podpory, pokud fakturace či jejich vystavení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4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 nezbytných</w:t>
      </w:r>
      <w:r>
        <w:rPr>
          <w:spacing w:val="-10"/>
          <w:sz w:val="20"/>
        </w:rPr>
        <w:t> </w:t>
      </w:r>
      <w:r>
        <w:rPr>
          <w:sz w:val="20"/>
        </w:rPr>
        <w:t>nákladů</w:t>
      </w:r>
      <w:r>
        <w:rPr>
          <w:spacing w:val="-10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provedené</w:t>
      </w:r>
      <w:r>
        <w:rPr>
          <w:spacing w:val="-11"/>
          <w:sz w:val="20"/>
        </w:rPr>
        <w:t> </w:t>
      </w:r>
      <w:r>
        <w:rPr>
          <w:sz w:val="20"/>
        </w:rPr>
        <w:t>práce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spotřebu</w:t>
      </w:r>
      <w:r>
        <w:rPr>
          <w:spacing w:val="-10"/>
          <w:sz w:val="20"/>
        </w:rPr>
        <w:t> </w:t>
      </w:r>
      <w:r>
        <w:rPr>
          <w:sz w:val="20"/>
        </w:rPr>
        <w:t>materiálu.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přitom povinen respektovat případné pokyny Fondu na prokázání uvedených nákladů odpovídajícími účetními </w:t>
      </w:r>
      <w:r>
        <w:rPr>
          <w:spacing w:val="-2"/>
          <w:sz w:val="20"/>
        </w:rPr>
        <w:t>doklady.</w:t>
      </w:r>
    </w:p>
    <w:p>
      <w:pPr>
        <w:pStyle w:val="BodyText"/>
        <w:spacing w:before="7"/>
        <w:ind w:left="0"/>
        <w:jc w:val="left"/>
        <w:rPr>
          <w:sz w:val="28"/>
        </w:rPr>
      </w:pPr>
    </w:p>
    <w:p>
      <w:pPr>
        <w:pStyle w:val="Heading1"/>
        <w:spacing w:before="100"/>
      </w:pPr>
      <w:r>
        <w:rPr>
          <w:spacing w:val="-5"/>
        </w:rPr>
        <w:t>IV.</w:t>
      </w:r>
    </w:p>
    <w:p>
      <w:pPr>
        <w:pStyle w:val="Heading2"/>
        <w:ind w:right="106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359" w:val="left" w:leader="none"/>
          <w:tab w:pos="360" w:val="left" w:leader="none"/>
        </w:tabs>
        <w:spacing w:line="240" w:lineRule="auto" w:before="118" w:after="0"/>
        <w:ind w:left="359" w:right="112" w:hanging="360"/>
        <w:jc w:val="right"/>
        <w:rPr>
          <w:sz w:val="20"/>
        </w:rPr>
      </w:pPr>
      <w:r>
        <w:rPr>
          <w:sz w:val="20"/>
        </w:rPr>
        <w:t>akce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7"/>
          <w:sz w:val="20"/>
        </w:rPr>
        <w:t> </w:t>
      </w:r>
      <w:r>
        <w:rPr>
          <w:sz w:val="20"/>
        </w:rPr>
        <w:t>provedena</w:t>
      </w:r>
      <w:r>
        <w:rPr>
          <w:spacing w:val="37"/>
          <w:sz w:val="20"/>
        </w:rPr>
        <w:t> </w:t>
      </w:r>
      <w:r>
        <w:rPr>
          <w:sz w:val="20"/>
        </w:rPr>
        <w:t>podle</w:t>
      </w:r>
      <w:r>
        <w:rPr>
          <w:spacing w:val="36"/>
          <w:sz w:val="20"/>
        </w:rPr>
        <w:t> </w:t>
      </w:r>
      <w:r>
        <w:rPr>
          <w:sz w:val="20"/>
        </w:rPr>
        <w:t>Fondem</w:t>
      </w:r>
      <w:r>
        <w:rPr>
          <w:spacing w:val="38"/>
          <w:sz w:val="20"/>
        </w:rPr>
        <w:t> </w:t>
      </w:r>
      <w:r>
        <w:rPr>
          <w:sz w:val="20"/>
        </w:rPr>
        <w:t>odsouhlasené</w:t>
      </w:r>
      <w:r>
        <w:rPr>
          <w:spacing w:val="39"/>
          <w:sz w:val="20"/>
        </w:rPr>
        <w:t> </w:t>
      </w:r>
      <w:r>
        <w:rPr>
          <w:sz w:val="20"/>
        </w:rPr>
        <w:t>projektové</w:t>
      </w:r>
      <w:r>
        <w:rPr>
          <w:spacing w:val="43"/>
          <w:sz w:val="20"/>
        </w:rPr>
        <w:t> </w:t>
      </w:r>
      <w:r>
        <w:rPr>
          <w:sz w:val="20"/>
        </w:rPr>
        <w:t>dokumentace,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37"/>
          <w:sz w:val="20"/>
        </w:rPr>
        <w:t> </w:t>
      </w:r>
      <w:r>
        <w:rPr>
          <w:spacing w:val="-2"/>
          <w:sz w:val="20"/>
        </w:rPr>
        <w:t>dokumentace</w:t>
      </w:r>
    </w:p>
    <w:p>
      <w:pPr>
        <w:pStyle w:val="BodyText"/>
        <w:ind w:left="0" w:right="118"/>
        <w:jc w:val="right"/>
      </w:pPr>
      <w:r>
        <w:rPr/>
        <w:t>žádosti,</w:t>
      </w:r>
      <w:r>
        <w:rPr>
          <w:spacing w:val="37"/>
        </w:rPr>
        <w:t> </w:t>
      </w:r>
      <w:r>
        <w:rPr/>
        <w:t>podle</w:t>
      </w:r>
      <w:r>
        <w:rPr>
          <w:spacing w:val="40"/>
        </w:rPr>
        <w:t> </w:t>
      </w:r>
      <w:r>
        <w:rPr/>
        <w:t>dokumentace</w:t>
      </w:r>
      <w:r>
        <w:rPr>
          <w:spacing w:val="38"/>
        </w:rPr>
        <w:t> </w:t>
      </w:r>
      <w:r>
        <w:rPr/>
        <w:t>výběrového</w:t>
      </w:r>
      <w:r>
        <w:rPr>
          <w:spacing w:val="39"/>
        </w:rPr>
        <w:t> </w:t>
      </w:r>
      <w:r>
        <w:rPr/>
        <w:t>řízení</w:t>
      </w:r>
      <w:r>
        <w:rPr>
          <w:spacing w:val="38"/>
        </w:rPr>
        <w:t> </w:t>
      </w:r>
      <w:r>
        <w:rPr/>
        <w:t>včetně</w:t>
      </w:r>
      <w:r>
        <w:rPr>
          <w:spacing w:val="37"/>
        </w:rPr>
        <w:t> </w:t>
      </w:r>
      <w:r>
        <w:rPr/>
        <w:t>smlouvy</w:t>
      </w:r>
      <w:r>
        <w:rPr>
          <w:spacing w:val="38"/>
        </w:rPr>
        <w:t> </w:t>
      </w:r>
      <w:r>
        <w:rPr/>
        <w:t>o</w:t>
      </w:r>
      <w:r>
        <w:rPr>
          <w:spacing w:val="39"/>
        </w:rPr>
        <w:t> </w:t>
      </w:r>
      <w:r>
        <w:rPr/>
        <w:t>dílo,</w:t>
      </w:r>
      <w:r>
        <w:rPr>
          <w:spacing w:val="39"/>
        </w:rPr>
        <w:t> </w:t>
      </w:r>
      <w:r>
        <w:rPr/>
        <w:t>včetně</w:t>
      </w:r>
      <w:r>
        <w:rPr>
          <w:spacing w:val="40"/>
        </w:rPr>
        <w:t> </w:t>
      </w:r>
      <w:r>
        <w:rPr/>
        <w:t>případných</w:t>
      </w:r>
      <w:r>
        <w:rPr>
          <w:spacing w:val="38"/>
        </w:rPr>
        <w:t> </w:t>
      </w:r>
      <w:r>
        <w:rPr/>
        <w:t>změn</w:t>
      </w:r>
      <w:r>
        <w:rPr>
          <w:spacing w:val="41"/>
        </w:rPr>
        <w:t> </w:t>
      </w:r>
      <w:r>
        <w:rPr>
          <w:spacing w:val="-10"/>
        </w:rPr>
        <w:t>a</w:t>
      </w:r>
    </w:p>
    <w:p>
      <w:pPr>
        <w:spacing w:after="0"/>
        <w:jc w:val="right"/>
        <w:sectPr>
          <w:pgSz w:w="12240" w:h="15840"/>
          <w:pgMar w:header="0" w:footer="1460" w:top="1060" w:bottom="1660" w:left="1320" w:right="1020"/>
        </w:sectPr>
      </w:pPr>
    </w:p>
    <w:p>
      <w:pPr>
        <w:pStyle w:val="BodyText"/>
        <w:spacing w:before="73"/>
        <w:ind w:left="741"/>
      </w:pPr>
      <w:r>
        <w:rPr/>
        <w:t>doplňků</w:t>
      </w:r>
      <w:r>
        <w:rPr>
          <w:spacing w:val="-10"/>
        </w:rPr>
        <w:t> </w:t>
      </w:r>
      <w:r>
        <w:rPr/>
        <w:t>těchto</w:t>
      </w:r>
      <w:r>
        <w:rPr>
          <w:spacing w:val="-9"/>
        </w:rPr>
        <w:t> </w:t>
      </w:r>
      <w:r>
        <w:rPr/>
        <w:t>dokumentů</w:t>
      </w:r>
      <w:r>
        <w:rPr>
          <w:spacing w:val="-7"/>
        </w:rPr>
        <w:t> </w:t>
      </w:r>
      <w:r>
        <w:rPr/>
        <w:t>odsouhlasených</w:t>
      </w:r>
      <w:r>
        <w:rPr>
          <w:spacing w:val="-9"/>
        </w:rPr>
        <w:t> </w:t>
      </w:r>
      <w:r>
        <w:rPr>
          <w:spacing w:val="-2"/>
        </w:rPr>
        <w:t>Fondem,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7" w:hanging="360"/>
        <w:jc w:val="both"/>
        <w:rPr>
          <w:sz w:val="20"/>
        </w:rPr>
      </w:pPr>
      <w:r>
        <w:rPr>
          <w:sz w:val="20"/>
        </w:rPr>
        <w:t>akce bude provedena v předpokládaném rozsahu, tj. dojde k realizaci Projektu spočívající v revitalizaci vodního toku Hruškovice v k.ú. Žádovice a k.ú. Ježov. V rámci realizace dojde k vytváření a obnově přírodě blízkého koryta, odstranění dřívějších nevhodných úprav, založení nových břehových porostů. Dále dojde k vybudování průtočné a neprůtočné tůně, a to dle projektovaných parametrů,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14" w:hanging="360"/>
        <w:jc w:val="both"/>
        <w:rPr>
          <w:sz w:val="20"/>
        </w:rPr>
      </w:pPr>
      <w:r>
        <w:rPr>
          <w:sz w:val="20"/>
        </w:rPr>
        <w:t>bude naplněn indikátor „Délka revitalizovaného vodního toku“ v rozsahu 0,97 km, indikátor „Plocha revitalizovaného toku a nivy“ v rozsahu 0,67 ha a indikátoru „Počet zprůchodněných migračních překážek“ v rozsahu 2 ks,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09" w:hanging="360"/>
        <w:jc w:val="both"/>
        <w:rPr>
          <w:sz w:val="20"/>
        </w:rPr>
      </w:pPr>
      <w:r>
        <w:rPr>
          <w:sz w:val="20"/>
        </w:rPr>
        <w:t>akce bude provedena na pozemcích, jejichž seznam předložil příjemce dotace Fondu a není-li jejich vlastníkem nebo nájemcem, tak příjemce podpory disponuje písemným dokumentem, že vlastníci dotčených pozemků vyslovili souhlas s</w:t>
      </w:r>
      <w:r>
        <w:rPr>
          <w:spacing w:val="-2"/>
          <w:sz w:val="20"/>
        </w:rPr>
        <w:t> </w:t>
      </w:r>
      <w:r>
        <w:rPr>
          <w:sz w:val="20"/>
        </w:rPr>
        <w:t>realizací akce a zajištěním udržitelnosti akce po dobu 10 let od ukončení realizace projektu (příslušné doklady byly příjemcem podpory Fondu předány),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19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1" w:right="111" w:hanging="360"/>
        <w:jc w:val="left"/>
        <w:rPr>
          <w:sz w:val="20"/>
        </w:rPr>
      </w:pPr>
      <w:r>
        <w:rPr>
          <w:sz w:val="20"/>
        </w:rPr>
        <w:t>zabezpečí, že předmět podpory bude plnit svoji funkci po dobu 10 let od ukončení realizace projektu,</w:t>
      </w:r>
      <w:r>
        <w:rPr>
          <w:spacing w:val="40"/>
          <w:sz w:val="20"/>
        </w:rPr>
        <w:t> </w:t>
      </w:r>
      <w:r>
        <w:rPr>
          <w:sz w:val="20"/>
        </w:rPr>
        <w:t>a to i v případě, že dojde ke změně vlastníka akcí dotčených pozemků,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z w:val="20"/>
        </w:rPr>
        <w:t>projektu</w:t>
      </w:r>
      <w:r>
        <w:rPr>
          <w:spacing w:val="-5"/>
          <w:sz w:val="20"/>
        </w:rPr>
        <w:t> </w:t>
      </w:r>
      <w:r>
        <w:rPr>
          <w:sz w:val="20"/>
        </w:rPr>
        <w:t>zajistí</w:t>
      </w:r>
      <w:r>
        <w:rPr>
          <w:spacing w:val="-7"/>
          <w:sz w:val="20"/>
        </w:rPr>
        <w:t> </w:t>
      </w:r>
      <w:r>
        <w:rPr>
          <w:sz w:val="20"/>
        </w:rPr>
        <w:t>řádný</w:t>
      </w:r>
      <w:r>
        <w:rPr>
          <w:spacing w:val="-7"/>
          <w:sz w:val="20"/>
        </w:rPr>
        <w:t> </w:t>
      </w:r>
      <w:r>
        <w:rPr>
          <w:sz w:val="20"/>
        </w:rPr>
        <w:t>technický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stavebníka,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</w:t>
      </w:r>
      <w:r>
        <w:rPr>
          <w:spacing w:val="-2"/>
          <w:sz w:val="20"/>
        </w:rPr>
        <w:t> </w:t>
      </w:r>
      <w:r>
        <w:rPr>
          <w:sz w:val="20"/>
        </w:rPr>
        <w:t>daňové</w:t>
      </w:r>
      <w:r>
        <w:rPr>
          <w:spacing w:val="75"/>
          <w:sz w:val="20"/>
        </w:rPr>
        <w:t> </w:t>
      </w:r>
      <w:r>
        <w:rPr>
          <w:sz w:val="20"/>
        </w:rPr>
        <w:t>evidenci</w:t>
      </w:r>
      <w:r>
        <w:rPr>
          <w:spacing w:val="73"/>
          <w:sz w:val="20"/>
        </w:rPr>
        <w:t> </w:t>
      </w:r>
      <w:r>
        <w:rPr>
          <w:sz w:val="20"/>
        </w:rPr>
        <w:t>(zákon</w:t>
      </w:r>
      <w:r>
        <w:rPr>
          <w:spacing w:val="75"/>
          <w:sz w:val="20"/>
        </w:rPr>
        <w:t> </w:t>
      </w:r>
      <w:r>
        <w:rPr>
          <w:sz w:val="20"/>
        </w:rPr>
        <w:t>č.</w:t>
      </w:r>
      <w:r>
        <w:rPr>
          <w:spacing w:val="73"/>
          <w:sz w:val="20"/>
        </w:rPr>
        <w:t> </w:t>
      </w:r>
      <w:r>
        <w:rPr>
          <w:sz w:val="20"/>
        </w:rPr>
        <w:t>586/1992</w:t>
      </w:r>
      <w:r>
        <w:rPr>
          <w:spacing w:val="73"/>
          <w:sz w:val="20"/>
        </w:rPr>
        <w:t> </w:t>
      </w:r>
      <w:r>
        <w:rPr>
          <w:sz w:val="20"/>
        </w:rPr>
        <w:t>Sb.,</w:t>
      </w:r>
      <w:r>
        <w:rPr>
          <w:spacing w:val="73"/>
          <w:sz w:val="20"/>
        </w:rPr>
        <w:t> </w:t>
      </w:r>
      <w:r>
        <w:rPr>
          <w:sz w:val="20"/>
        </w:rPr>
        <w:t>o</w:t>
      </w:r>
      <w:r>
        <w:rPr>
          <w:spacing w:val="73"/>
          <w:sz w:val="20"/>
        </w:rPr>
        <w:t> </w:t>
      </w:r>
      <w:r>
        <w:rPr>
          <w:sz w:val="20"/>
        </w:rPr>
        <w:t>daních</w:t>
      </w:r>
      <w:r>
        <w:rPr>
          <w:spacing w:val="73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příjmů,</w:t>
      </w:r>
      <w:r>
        <w:rPr>
          <w:spacing w:val="7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74"/>
          <w:sz w:val="20"/>
        </w:rPr>
        <w:t> </w:t>
      </w:r>
      <w:r>
        <w:rPr>
          <w:sz w:val="20"/>
        </w:rPr>
        <w:t>znění)</w:t>
      </w:r>
      <w:r>
        <w:rPr>
          <w:spacing w:val="74"/>
          <w:sz w:val="20"/>
        </w:rPr>
        <w:t> </w:t>
      </w:r>
      <w:r>
        <w:rPr>
          <w:sz w:val="20"/>
        </w:rPr>
        <w:t>podle</w:t>
      </w:r>
      <w:r>
        <w:rPr>
          <w:spacing w:val="72"/>
          <w:sz w:val="20"/>
        </w:rPr>
        <w:t> </w:t>
      </w:r>
      <w:r>
        <w:rPr>
          <w:sz w:val="20"/>
        </w:rPr>
        <w:t>pokynů v čl. 10 písm. i)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4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 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</w:t>
      </w:r>
      <w:r>
        <w:rPr>
          <w:spacing w:val="-3"/>
          <w:sz w:val="20"/>
        </w:rPr>
        <w:t> </w:t>
      </w:r>
      <w:r>
        <w:rPr>
          <w:sz w:val="20"/>
        </w:rPr>
        <w:t>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dvojího</w:t>
      </w:r>
      <w:r>
        <w:rPr>
          <w:spacing w:val="-4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l)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2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6" w:hanging="360"/>
        <w:jc w:val="both"/>
        <w:rPr>
          <w:sz w:val="20"/>
        </w:rPr>
      </w:pPr>
      <w:r>
        <w:rPr>
          <w:sz w:val="20"/>
        </w:rPr>
        <w:t>bude dodržen čl. 10 písm. j)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dodržen</w:t>
      </w:r>
      <w:r>
        <w:rPr>
          <w:spacing w:val="-10"/>
          <w:sz w:val="20"/>
        </w:rPr>
        <w:t> </w:t>
      </w:r>
      <w:r>
        <w:rPr>
          <w:sz w:val="20"/>
        </w:rPr>
        <w:t>čl.</w:t>
      </w:r>
      <w:r>
        <w:rPr>
          <w:spacing w:val="-11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písm.</w:t>
      </w:r>
      <w:r>
        <w:rPr>
          <w:spacing w:val="-10"/>
          <w:sz w:val="20"/>
        </w:rPr>
        <w:t> </w:t>
      </w:r>
      <w:r>
        <w:rPr>
          <w:sz w:val="20"/>
        </w:rPr>
        <w:t>k)</w:t>
      </w:r>
      <w:r>
        <w:rPr>
          <w:spacing w:val="-8"/>
          <w:sz w:val="20"/>
        </w:rPr>
        <w:t> </w:t>
      </w:r>
      <w:r>
        <w:rPr>
          <w:sz w:val="20"/>
        </w:rPr>
        <w:t>Výzvy,</w:t>
      </w:r>
      <w:r>
        <w:rPr>
          <w:spacing w:val="-10"/>
          <w:sz w:val="20"/>
        </w:rPr>
        <w:t> </w:t>
      </w:r>
      <w:r>
        <w:rPr>
          <w:sz w:val="20"/>
        </w:rPr>
        <w:t>t.</w:t>
      </w:r>
      <w:r>
        <w:rPr>
          <w:spacing w:val="-11"/>
          <w:sz w:val="20"/>
        </w:rPr>
        <w:t> </w:t>
      </w:r>
      <w:r>
        <w:rPr>
          <w:sz w:val="20"/>
        </w:rPr>
        <w:t>j.</w:t>
      </w:r>
      <w:r>
        <w:rPr>
          <w:spacing w:val="-11"/>
          <w:sz w:val="20"/>
        </w:rPr>
        <w:t> </w:t>
      </w:r>
      <w:r>
        <w:rPr>
          <w:sz w:val="20"/>
        </w:rPr>
        <w:t>nejméně</w:t>
      </w:r>
      <w:r>
        <w:rPr>
          <w:spacing w:val="-11"/>
          <w:sz w:val="20"/>
        </w:rPr>
        <w:t> </w:t>
      </w:r>
      <w:r>
        <w:rPr>
          <w:sz w:val="20"/>
        </w:rPr>
        <w:t>70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0"/>
          <w:sz w:val="20"/>
        </w:rPr>
        <w:t> </w:t>
      </w:r>
      <w:r>
        <w:rPr>
          <w:sz w:val="20"/>
        </w:rPr>
        <w:t>(hmotnostních)</w:t>
      </w:r>
      <w:r>
        <w:rPr>
          <w:spacing w:val="-10"/>
          <w:sz w:val="20"/>
        </w:rPr>
        <w:t> </w:t>
      </w:r>
      <w:r>
        <w:rPr>
          <w:sz w:val="20"/>
        </w:rPr>
        <w:t>stavebního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demoličního</w:t>
      </w:r>
      <w:r>
        <w:rPr>
          <w:spacing w:val="-9"/>
          <w:sz w:val="20"/>
        </w:rPr>
        <w:t> </w:t>
      </w:r>
      <w:r>
        <w:rPr>
          <w:sz w:val="20"/>
        </w:rPr>
        <w:t>odpadu neklasifikovaného</w:t>
      </w:r>
      <w:r>
        <w:rPr>
          <w:spacing w:val="73"/>
          <w:sz w:val="20"/>
        </w:rPr>
        <w:t> </w:t>
      </w:r>
      <w:r>
        <w:rPr>
          <w:sz w:val="20"/>
        </w:rPr>
        <w:t>jako</w:t>
      </w:r>
      <w:r>
        <w:rPr>
          <w:spacing w:val="72"/>
          <w:sz w:val="20"/>
        </w:rPr>
        <w:t> </w:t>
      </w:r>
      <w:r>
        <w:rPr>
          <w:sz w:val="20"/>
        </w:rPr>
        <w:t>nebezpečný</w:t>
      </w:r>
      <w:r>
        <w:rPr>
          <w:spacing w:val="71"/>
          <w:sz w:val="20"/>
        </w:rPr>
        <w:t> </w:t>
      </w:r>
      <w:r>
        <w:rPr>
          <w:sz w:val="20"/>
        </w:rPr>
        <w:t>(s</w:t>
      </w:r>
      <w:r>
        <w:rPr>
          <w:spacing w:val="71"/>
          <w:sz w:val="20"/>
        </w:rPr>
        <w:t> </w:t>
      </w:r>
      <w:r>
        <w:rPr>
          <w:sz w:val="20"/>
        </w:rPr>
        <w:t>výjimkou</w:t>
      </w:r>
      <w:r>
        <w:rPr>
          <w:spacing w:val="72"/>
          <w:sz w:val="20"/>
        </w:rPr>
        <w:t> </w:t>
      </w:r>
      <w:r>
        <w:rPr>
          <w:sz w:val="20"/>
        </w:rPr>
        <w:t>v</w:t>
      </w:r>
      <w:r>
        <w:rPr>
          <w:spacing w:val="72"/>
          <w:sz w:val="20"/>
        </w:rPr>
        <w:t> </w:t>
      </w:r>
      <w:r>
        <w:rPr>
          <w:sz w:val="20"/>
        </w:rPr>
        <w:t>přírodě</w:t>
      </w:r>
      <w:r>
        <w:rPr>
          <w:spacing w:val="71"/>
          <w:sz w:val="20"/>
        </w:rPr>
        <w:t> </w:t>
      </w:r>
      <w:r>
        <w:rPr>
          <w:sz w:val="20"/>
        </w:rPr>
        <w:t>se</w:t>
      </w:r>
      <w:r>
        <w:rPr>
          <w:spacing w:val="70"/>
          <w:sz w:val="20"/>
        </w:rPr>
        <w:t> </w:t>
      </w:r>
      <w:r>
        <w:rPr>
          <w:sz w:val="20"/>
        </w:rPr>
        <w:t>vyskytujících</w:t>
      </w:r>
      <w:r>
        <w:rPr>
          <w:spacing w:val="72"/>
          <w:sz w:val="20"/>
        </w:rPr>
        <w:t> </w:t>
      </w:r>
      <w:r>
        <w:rPr>
          <w:sz w:val="20"/>
        </w:rPr>
        <w:t>materiálů</w:t>
      </w:r>
      <w:r>
        <w:rPr>
          <w:spacing w:val="72"/>
          <w:sz w:val="20"/>
        </w:rPr>
        <w:t> </w:t>
      </w:r>
      <w:r>
        <w:rPr>
          <w:sz w:val="20"/>
        </w:rPr>
        <w:t>uvedených v kategorii 17 05 04 v Evropském seznamu odpadů stanoveném rozhodnutím 2000/532/ES) vzniklého na staveništi, je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7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s)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9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8" w:hanging="360"/>
        <w:jc w:val="both"/>
        <w:rPr>
          <w:sz w:val="20"/>
        </w:rPr>
      </w:pPr>
      <w:r>
        <w:rPr>
          <w:sz w:val="20"/>
        </w:rPr>
        <w:t>termín dokončení akce do konce 04/2026 a o dodržení tohoto termínu Fond bez zbytečného odkladu informovat</w:t>
      </w:r>
      <w:r>
        <w:rPr>
          <w:spacing w:val="40"/>
          <w:sz w:val="20"/>
        </w:rPr>
        <w:t> </w:t>
      </w:r>
      <w:r>
        <w:rPr>
          <w:sz w:val="20"/>
        </w:rPr>
        <w:t>(za</w:t>
      </w:r>
      <w:r>
        <w:rPr>
          <w:spacing w:val="40"/>
          <w:sz w:val="20"/>
        </w:rPr>
        <w:t> </w:t>
      </w:r>
      <w:r>
        <w:rPr>
          <w:sz w:val="20"/>
        </w:rPr>
        <w:t>termín</w:t>
      </w:r>
      <w:r>
        <w:rPr>
          <w:spacing w:val="40"/>
          <w:sz w:val="20"/>
        </w:rPr>
        <w:t> </w:t>
      </w:r>
      <w:r>
        <w:rPr>
          <w:sz w:val="20"/>
        </w:rPr>
        <w:t>ukončení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považuje</w:t>
      </w:r>
      <w:r>
        <w:rPr>
          <w:spacing w:val="40"/>
          <w:sz w:val="20"/>
        </w:rPr>
        <w:t> </w:t>
      </w:r>
      <w:r>
        <w:rPr>
          <w:sz w:val="20"/>
        </w:rPr>
        <w:t>datum</w:t>
      </w:r>
      <w:r>
        <w:rPr>
          <w:spacing w:val="40"/>
          <w:sz w:val="20"/>
        </w:rPr>
        <w:t> </w:t>
      </w:r>
      <w:r>
        <w:rPr>
          <w:sz w:val="20"/>
        </w:rPr>
        <w:t>protokolu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předání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převzetí</w:t>
      </w:r>
      <w:r>
        <w:rPr>
          <w:spacing w:val="40"/>
          <w:sz w:val="20"/>
        </w:rPr>
        <w:t> </w:t>
      </w:r>
      <w:r>
        <w:rPr>
          <w:sz w:val="20"/>
        </w:rPr>
        <w:t>díla</w:t>
      </w:r>
      <w:r>
        <w:rPr>
          <w:spacing w:val="40"/>
          <w:sz w:val="20"/>
        </w:rPr>
        <w:t> </w:t>
      </w:r>
      <w:r>
        <w:rPr>
          <w:sz w:val="20"/>
        </w:rPr>
        <w:t>u relevantních aktivit). Přitom se konstatuje, že akce byla zahájena v 01/2025,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19"/>
          <w:sz w:val="20"/>
        </w:rPr>
        <w:t> </w:t>
      </w:r>
      <w:r>
        <w:rPr>
          <w:sz w:val="20"/>
        </w:rPr>
        <w:t>zavazuje</w:t>
      </w:r>
      <w:r>
        <w:rPr>
          <w:spacing w:val="20"/>
          <w:sz w:val="20"/>
        </w:rPr>
        <w:t> </w:t>
      </w:r>
      <w:r>
        <w:rPr>
          <w:sz w:val="20"/>
        </w:rPr>
        <w:t>nejpozději</w:t>
      </w:r>
      <w:r>
        <w:rPr>
          <w:spacing w:val="21"/>
          <w:sz w:val="20"/>
        </w:rPr>
        <w:t> </w:t>
      </w:r>
      <w:r>
        <w:rPr>
          <w:sz w:val="20"/>
        </w:rPr>
        <w:t>do</w:t>
      </w:r>
      <w:r>
        <w:rPr>
          <w:spacing w:val="22"/>
          <w:sz w:val="20"/>
        </w:rPr>
        <w:t> </w:t>
      </w:r>
      <w:r>
        <w:rPr>
          <w:sz w:val="20"/>
        </w:rPr>
        <w:t>konce</w:t>
      </w:r>
      <w:r>
        <w:rPr>
          <w:spacing w:val="21"/>
          <w:sz w:val="20"/>
        </w:rPr>
        <w:t> </w:t>
      </w:r>
      <w:r>
        <w:rPr>
          <w:sz w:val="20"/>
        </w:rPr>
        <w:t>07/2026</w:t>
      </w:r>
      <w:r>
        <w:rPr>
          <w:spacing w:val="21"/>
          <w:sz w:val="20"/>
        </w:rPr>
        <w:t> </w:t>
      </w:r>
      <w:r>
        <w:rPr>
          <w:sz w:val="20"/>
        </w:rPr>
        <w:t>předložit</w:t>
      </w:r>
      <w:r>
        <w:rPr>
          <w:spacing w:val="21"/>
          <w:sz w:val="20"/>
        </w:rPr>
        <w:t> </w:t>
      </w:r>
      <w:r>
        <w:rPr>
          <w:sz w:val="20"/>
        </w:rPr>
        <w:t>prostřednictvím</w:t>
      </w:r>
      <w:r>
        <w:rPr>
          <w:spacing w:val="22"/>
          <w:sz w:val="20"/>
        </w:rPr>
        <w:t> </w:t>
      </w:r>
      <w:r>
        <w:rPr>
          <w:sz w:val="20"/>
        </w:rPr>
        <w:t>AIS</w:t>
      </w:r>
      <w:r>
        <w:rPr>
          <w:spacing w:val="20"/>
          <w:sz w:val="20"/>
        </w:rPr>
        <w:t> </w:t>
      </w:r>
      <w:r>
        <w:rPr>
          <w:sz w:val="20"/>
        </w:rPr>
        <w:t>SFŽP</w:t>
      </w:r>
      <w:r>
        <w:rPr>
          <w:spacing w:val="23"/>
          <w:sz w:val="20"/>
        </w:rPr>
        <w:t> </w:t>
      </w:r>
      <w:r>
        <w:rPr>
          <w:sz w:val="20"/>
        </w:rPr>
        <w:t>ČR</w:t>
      </w:r>
      <w:r>
        <w:rPr>
          <w:spacing w:val="21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pacing w:val="-2"/>
          <w:sz w:val="20"/>
        </w:rPr>
        <w:t>podklady</w:t>
      </w:r>
    </w:p>
    <w:p>
      <w:pPr>
        <w:pStyle w:val="BodyText"/>
        <w:ind w:left="948"/>
      </w:pPr>
      <w:r>
        <w:rPr/>
        <w:t>k</w:t>
      </w:r>
      <w:r>
        <w:rPr>
          <w:spacing w:val="-6"/>
        </w:rPr>
        <w:t> </w:t>
      </w:r>
      <w:r>
        <w:rPr/>
        <w:t>Závěrečnému</w:t>
      </w:r>
      <w:r>
        <w:rPr>
          <w:spacing w:val="-4"/>
        </w:rPr>
        <w:t> </w:t>
      </w:r>
      <w:r>
        <w:rPr/>
        <w:t>vyhodnocení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(dále</w:t>
      </w:r>
      <w:r>
        <w:rPr>
          <w:spacing w:val="-5"/>
        </w:rPr>
        <w:t> </w:t>
      </w:r>
      <w:r>
        <w:rPr/>
        <w:t>jen</w:t>
      </w:r>
      <w:r>
        <w:rPr>
          <w:spacing w:val="-4"/>
        </w:rPr>
        <w:t> </w:t>
      </w:r>
      <w:r>
        <w:rPr/>
        <w:t>„ZVA“)</w:t>
      </w:r>
      <w:r>
        <w:rPr>
          <w:spacing w:val="-5"/>
        </w:rPr>
        <w:t> </w:t>
      </w:r>
      <w:r>
        <w:rPr/>
        <w:t>podle</w:t>
      </w:r>
      <w:r>
        <w:rPr>
          <w:spacing w:val="-6"/>
        </w:rPr>
        <w:t> </w:t>
      </w:r>
      <w:r>
        <w:rPr/>
        <w:t>čl.</w:t>
      </w:r>
      <w:r>
        <w:rPr>
          <w:spacing w:val="-5"/>
        </w:rPr>
        <w:t> </w:t>
      </w:r>
      <w:r>
        <w:rPr/>
        <w:t>12</w:t>
      </w:r>
      <w:r>
        <w:rPr>
          <w:spacing w:val="-4"/>
        </w:rPr>
        <w:t> </w:t>
      </w:r>
      <w:r>
        <w:rPr/>
        <w:t>písm.</w:t>
      </w:r>
      <w:r>
        <w:rPr>
          <w:spacing w:val="-6"/>
        </w:rPr>
        <w:t> </w:t>
      </w:r>
      <w:r>
        <w:rPr/>
        <w:t>d)</w:t>
      </w:r>
      <w:r>
        <w:rPr>
          <w:spacing w:val="-5"/>
        </w:rPr>
        <w:t> </w:t>
      </w:r>
      <w:r>
        <w:rPr>
          <w:spacing w:val="-2"/>
        </w:rPr>
        <w:t>Výzvy.</w:t>
      </w:r>
    </w:p>
    <w:p>
      <w:pPr>
        <w:pStyle w:val="BodyText"/>
        <w:spacing w:before="118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</w:t>
      </w:r>
      <w:r>
        <w:rPr>
          <w:spacing w:val="40"/>
          <w:sz w:val="20"/>
        </w:rPr>
        <w:t> </w:t>
      </w:r>
      <w:r>
        <w:rPr>
          <w:sz w:val="20"/>
        </w:rPr>
        <w:t>vycházející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jím</w:t>
      </w:r>
      <w:r>
        <w:rPr>
          <w:spacing w:val="40"/>
          <w:sz w:val="20"/>
        </w:rPr>
        <w:t> </w:t>
      </w:r>
      <w:r>
        <w:rPr>
          <w:sz w:val="20"/>
        </w:rPr>
        <w:t>podané</w:t>
      </w:r>
      <w:r>
        <w:rPr>
          <w:spacing w:val="40"/>
          <w:sz w:val="20"/>
        </w:rPr>
        <w:t> </w:t>
      </w:r>
      <w:r>
        <w:rPr>
          <w:sz w:val="20"/>
        </w:rPr>
        <w:t>informace)</w:t>
      </w:r>
      <w:r>
        <w:rPr>
          <w:spacing w:val="40"/>
          <w:sz w:val="20"/>
        </w:rPr>
        <w:t> </w:t>
      </w:r>
      <w:r>
        <w:rPr>
          <w:sz w:val="20"/>
        </w:rPr>
        <w:t>uvedené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této</w:t>
      </w:r>
      <w:r>
        <w:rPr>
          <w:spacing w:val="40"/>
          <w:sz w:val="20"/>
        </w:rPr>
        <w:t> </w:t>
      </w:r>
      <w:r>
        <w:rPr>
          <w:sz w:val="20"/>
        </w:rPr>
        <w:t>Smlouvě</w:t>
      </w:r>
      <w:r>
        <w:rPr>
          <w:spacing w:val="40"/>
          <w:sz w:val="20"/>
        </w:rPr>
        <w:t> </w:t>
      </w:r>
      <w:r>
        <w:rPr>
          <w:sz w:val="20"/>
        </w:rPr>
        <w:t>není</w:t>
      </w:r>
      <w:r>
        <w:rPr>
          <w:spacing w:val="40"/>
          <w:sz w:val="20"/>
        </w:rPr>
        <w:t> </w:t>
      </w:r>
      <w:r>
        <w:rPr>
          <w:sz w:val="20"/>
        </w:rPr>
        <w:t>pravdivé,</w:t>
      </w:r>
      <w:r>
        <w:rPr>
          <w:spacing w:val="40"/>
          <w:sz w:val="20"/>
        </w:rPr>
        <w:t> </w:t>
      </w:r>
      <w:r>
        <w:rPr>
          <w:sz w:val="20"/>
        </w:rPr>
        <w:t>bude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440" w:bottom="1660" w:left="1320" w:right="1020"/>
        </w:sectPr>
      </w:pPr>
    </w:p>
    <w:p>
      <w:pPr>
        <w:pStyle w:val="BodyText"/>
        <w:spacing w:before="73"/>
        <w:ind w:left="948"/>
        <w:jc w:val="left"/>
      </w:pPr>
      <w:r>
        <w:rPr/>
        <w:t>považováno</w:t>
      </w:r>
      <w:r>
        <w:rPr>
          <w:spacing w:val="-5"/>
        </w:rPr>
        <w:t> </w:t>
      </w:r>
      <w:r>
        <w:rPr/>
        <w:t>za</w:t>
      </w:r>
      <w:r>
        <w:rPr>
          <w:spacing w:val="-7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jeho</w:t>
      </w:r>
      <w:r>
        <w:rPr>
          <w:spacing w:val="-5"/>
        </w:rPr>
        <w:t> </w:t>
      </w:r>
      <w:r>
        <w:rPr/>
        <w:t>povinnosti</w:t>
      </w:r>
      <w:r>
        <w:rPr>
          <w:spacing w:val="-6"/>
        </w:rPr>
        <w:t> </w:t>
      </w:r>
      <w:r>
        <w:rPr/>
        <w:t>stanovené</w:t>
      </w:r>
      <w:r>
        <w:rPr>
          <w:spacing w:val="-7"/>
        </w:rPr>
        <w:t> </w:t>
      </w:r>
      <w:r>
        <w:rPr/>
        <w:t>touto</w:t>
      </w:r>
      <w:r>
        <w:rPr>
          <w:spacing w:val="-6"/>
        </w:rPr>
        <w:t> </w:t>
      </w:r>
      <w:r>
        <w:rPr>
          <w:spacing w:val="-2"/>
        </w:rPr>
        <w:t>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09" w:hanging="284"/>
        <w:jc w:val="left"/>
        <w:rPr>
          <w:sz w:val="20"/>
        </w:rPr>
      </w:pPr>
      <w:r>
        <w:rPr>
          <w:sz w:val="20"/>
        </w:rPr>
        <w:t>dodržovat</w:t>
      </w:r>
      <w:r>
        <w:rPr>
          <w:spacing w:val="-10"/>
          <w:sz w:val="20"/>
        </w:rPr>
        <w:t> </w:t>
      </w:r>
      <w:r>
        <w:rPr>
          <w:sz w:val="20"/>
        </w:rPr>
        <w:t>pravidla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7"/>
          <w:sz w:val="20"/>
        </w:rPr>
        <w:t> </w:t>
      </w:r>
      <w:r>
        <w:rPr>
          <w:sz w:val="20"/>
        </w:rPr>
        <w:t>stanovená</w:t>
      </w:r>
      <w:r>
        <w:rPr>
          <w:spacing w:val="-10"/>
          <w:sz w:val="20"/>
        </w:rPr>
        <w:t> </w:t>
      </w:r>
      <w:r>
        <w:rPr>
          <w:sz w:val="20"/>
        </w:rPr>
        <w:t>v čl.</w:t>
      </w:r>
      <w:r>
        <w:rPr>
          <w:spacing w:val="-9"/>
          <w:sz w:val="20"/>
        </w:rPr>
        <w:t> </w:t>
      </w:r>
      <w:r>
        <w:rPr>
          <w:sz w:val="20"/>
        </w:rPr>
        <w:t>10</w:t>
      </w:r>
      <w:r>
        <w:rPr>
          <w:spacing w:val="-9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h)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spacing w:before="1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druhou, třetí, pátou, šestou, sedmou, osmou nebo odrážkou devátou nebo podle článku IV bodu 2 písm. a), c) nebo d)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první nebo čtvrtou odrážkou, bude toto porušení postiženo odvodem ve výši 100 % z poskytnuté podpory. 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druhou nebo třetí odrážkou, bude toto porušení postiženo odvodem ve výši 100 % z poskytnuté podpory, byl-li naplněn účel akce podle citovaného ustanovení na méně než 50 % stanovených indikátorů. V případě plnění účelu akce podle v předchozí větě citovaného ustanovení v rozmezí 51 - 95 % stanovených indikátorů, bude toto porušení postiženo odvodem v</w:t>
      </w:r>
      <w:r>
        <w:rPr>
          <w:spacing w:val="-1"/>
          <w:sz w:val="20"/>
        </w:rPr>
        <w:t> </w:t>
      </w:r>
      <w:r>
        <w:rPr>
          <w:sz w:val="20"/>
        </w:rPr>
        <w:t>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> </w:t>
      </w:r>
      <w:r>
        <w:rPr>
          <w:sz w:val="20"/>
        </w:rPr>
        <w:t>povinností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7"/>
          <w:sz w:val="20"/>
        </w:rPr>
        <w:t> </w:t>
      </w:r>
      <w:r>
        <w:rPr>
          <w:sz w:val="20"/>
        </w:rPr>
        <w:t>článku</w:t>
      </w:r>
      <w:r>
        <w:rPr>
          <w:spacing w:val="16"/>
          <w:sz w:val="20"/>
        </w:rPr>
        <w:t> </w:t>
      </w:r>
      <w:r>
        <w:rPr>
          <w:sz w:val="20"/>
        </w:rPr>
        <w:t>IV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</w:t>
      </w:r>
      <w:r>
        <w:rPr>
          <w:spacing w:val="16"/>
          <w:sz w:val="20"/>
        </w:rPr>
        <w:t> </w:t>
      </w:r>
      <w:r>
        <w:rPr>
          <w:sz w:val="20"/>
        </w:rPr>
        <w:t>písm.</w:t>
      </w:r>
      <w:r>
        <w:rPr>
          <w:spacing w:val="16"/>
          <w:sz w:val="20"/>
        </w:rPr>
        <w:t> </w:t>
      </w:r>
      <w:r>
        <w:rPr>
          <w:sz w:val="20"/>
        </w:rPr>
        <w:t>c)</w:t>
      </w:r>
      <w:r>
        <w:rPr>
          <w:spacing w:val="19"/>
          <w:sz w:val="20"/>
        </w:rPr>
        <w:t> </w:t>
      </w:r>
      <w:r>
        <w:rPr>
          <w:sz w:val="20"/>
        </w:rPr>
        <w:t>nebo</w:t>
      </w:r>
      <w:r>
        <w:rPr>
          <w:spacing w:val="17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7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výši</w:t>
      </w:r>
      <w:r>
        <w:rPr>
          <w:spacing w:val="15"/>
          <w:sz w:val="20"/>
        </w:rPr>
        <w:t> </w:t>
      </w:r>
      <w:r>
        <w:rPr>
          <w:sz w:val="20"/>
        </w:rPr>
        <w:t>0,5</w:t>
      </w:r>
      <w:r>
        <w:rPr>
          <w:spacing w:val="16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každý</w:t>
      </w:r>
      <w:r>
        <w:rPr>
          <w:spacing w:val="-4"/>
          <w:sz w:val="20"/>
        </w:rPr>
        <w:t> </w:t>
      </w:r>
      <w:r>
        <w:rPr>
          <w:sz w:val="20"/>
        </w:rPr>
        <w:t>započatý</w:t>
      </w:r>
      <w:r>
        <w:rPr>
          <w:spacing w:val="-1"/>
          <w:sz w:val="20"/>
        </w:rPr>
        <w:t> </w:t>
      </w:r>
      <w:r>
        <w:rPr>
          <w:sz w:val="20"/>
        </w:rPr>
        <w:t>měsíc</w:t>
      </w:r>
      <w:r>
        <w:rPr>
          <w:spacing w:val="-4"/>
          <w:sz w:val="20"/>
        </w:rPr>
        <w:t> </w:t>
      </w:r>
      <w:r>
        <w:rPr>
          <w:sz w:val="20"/>
        </w:rPr>
        <w:t>prodlení.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těchto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nepřesahující</w:t>
      </w:r>
      <w:r>
        <w:rPr>
          <w:spacing w:val="-4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 j),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  <w:spacing w:before="1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jc w:val="left"/>
      </w:pPr>
      <w:r>
        <w:rPr>
          <w:spacing w:val="-2"/>
        </w:rPr>
        <w:t>podpory.</w:t>
      </w:r>
    </w:p>
    <w:p>
      <w:pPr>
        <w:pStyle w:val="BodyText"/>
        <w:spacing w:before="2"/>
        <w:ind w:left="0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registru</w:t>
      </w:r>
      <w:r>
        <w:rPr>
          <w:spacing w:val="-7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1"/>
        <w:ind w:left="0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37"/>
        </w:rPr>
      </w:pPr>
    </w:p>
    <w:p>
      <w:pPr>
        <w:pStyle w:val="BodyText"/>
        <w:spacing w:line="264" w:lineRule="auto" w:before="1"/>
        <w:ind w:left="382"/>
        <w:jc w:val="left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0" w:footer="1460" w:top="1060" w:bottom="1660" w:left="1320" w:right="1020"/>
        </w:sectPr>
      </w:pPr>
    </w:p>
    <w:p>
      <w:pPr>
        <w:pStyle w:val="BodyText"/>
        <w:spacing w:before="85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32"/>
        </w:rPr>
      </w:pPr>
    </w:p>
    <w:p>
      <w:pPr>
        <w:pStyle w:val="Heading2"/>
        <w:spacing w:line="264" w:lineRule="auto" w:before="1"/>
        <w:ind w:left="382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j)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4" w:lineRule="auto" w:before="0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3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8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2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80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sectPr>
          <w:pgSz w:w="12240" w:h="15840"/>
          <w:pgMar w:header="0" w:footer="1460" w:top="14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3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49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12"/>
        <w:ind w:left="0"/>
        <w:jc w:val="left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4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225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line="237" w:lineRule="auto" w:before="3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1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7"/>
        <w:ind w:left="0"/>
        <w:jc w:val="left"/>
        <w:rPr>
          <w:sz w:val="27"/>
        </w:rPr>
      </w:pPr>
      <w:r>
        <w:rPr/>
        <w:pict>
          <v:rect style="position:absolute;margin-left:85.103996pt;margin-top:19.55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12"/>
        <w:ind w:left="0"/>
        <w:jc w:val="left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j),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line="237" w:lineRule="auto" w:before="4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0" w:footer="1460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4780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2025-05-14T08:36:53Z</dcterms:created>
  <dcterms:modified xsi:type="dcterms:W3CDTF">2025-05-14T08:36:53Z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2025-05-14T00:00:00Z</vt:filetime>
  </property>
</Properties>
</file>