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7241100133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L.E.T.</w:t>
      </w:r>
      <w:r>
        <w:rPr>
          <w:spacing w:val="-5"/>
        </w:rPr>
        <w:t> </w:t>
      </w:r>
      <w:r>
        <w:rPr/>
        <w:t>optomechanika</w:t>
      </w:r>
      <w:r>
        <w:rPr>
          <w:spacing w:val="-7"/>
        </w:rPr>
        <w:t> </w:t>
      </w:r>
      <w:r>
        <w:rPr/>
        <w:t>Praha,</w:t>
      </w:r>
      <w:r>
        <w:rPr>
          <w:spacing w:val="-7"/>
        </w:rPr>
        <w:t> </w:t>
      </w:r>
      <w:r>
        <w:rPr/>
        <w:t>spol.</w:t>
      </w:r>
      <w:r>
        <w:rPr>
          <w:spacing w:val="-6"/>
        </w:rPr>
        <w:t> </w:t>
      </w:r>
      <w:r>
        <w:rPr/>
        <w:t>s</w:t>
      </w:r>
      <w:r>
        <w:rPr>
          <w:spacing w:val="-6"/>
        </w:rPr>
        <w:t> </w:t>
      </w:r>
      <w:r>
        <w:rPr>
          <w:spacing w:val="-4"/>
        </w:rPr>
        <w:t>r.o.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8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6"/>
        </w:rPr>
        <w:t> </w:t>
      </w:r>
      <w:r>
        <w:rPr/>
        <w:t>vedeném</w:t>
      </w:r>
      <w:r>
        <w:rPr>
          <w:spacing w:val="-1"/>
        </w:rPr>
        <w:t> </w:t>
      </w:r>
      <w:r>
        <w:rPr/>
        <w:t>Městským</w:t>
      </w:r>
      <w:r>
        <w:rPr>
          <w:spacing w:val="-5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Praze,</w:t>
      </w:r>
      <w:r>
        <w:rPr>
          <w:spacing w:val="-7"/>
        </w:rPr>
        <w:t> </w:t>
      </w:r>
      <w:r>
        <w:rPr/>
        <w:t>oddíl</w:t>
      </w:r>
      <w:r>
        <w:rPr>
          <w:spacing w:val="-6"/>
        </w:rPr>
        <w:t> </w:t>
      </w:r>
      <w:r>
        <w:rPr/>
        <w:t>C</w:t>
      </w:r>
      <w:r>
        <w:rPr>
          <w:spacing w:val="-7"/>
        </w:rPr>
        <w:t> </w:t>
      </w:r>
      <w:r>
        <w:rPr/>
        <w:t>vložka</w:t>
      </w:r>
      <w:r>
        <w:rPr>
          <w:spacing w:val="-6"/>
        </w:rPr>
        <w:t> </w:t>
      </w:r>
      <w:r>
        <w:rPr>
          <w:spacing w:val="-2"/>
        </w:rPr>
        <w:t>19167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Hostivařská</w:t>
      </w:r>
      <w:r>
        <w:rPr>
          <w:spacing w:val="-8"/>
        </w:rPr>
        <w:t> </w:t>
      </w:r>
      <w:r>
        <w:rPr/>
        <w:t>139/62,</w:t>
      </w:r>
      <w:r>
        <w:rPr>
          <w:spacing w:val="-7"/>
        </w:rPr>
        <w:t> </w:t>
      </w:r>
      <w:r>
        <w:rPr/>
        <w:t>Hostivař,</w:t>
      </w:r>
      <w:r>
        <w:rPr>
          <w:spacing w:val="-7"/>
        </w:rPr>
        <w:t> </w:t>
      </w:r>
      <w:r>
        <w:rPr/>
        <w:t>102</w:t>
      </w:r>
      <w:r>
        <w:rPr>
          <w:spacing w:val="-3"/>
        </w:rPr>
        <w:t> </w:t>
      </w:r>
      <w:r>
        <w:rPr/>
        <w:t>00</w:t>
      </w:r>
      <w:r>
        <w:rPr>
          <w:spacing w:val="-7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10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48536946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Tomášem</w:t>
      </w:r>
      <w:r>
        <w:rPr>
          <w:spacing w:val="-2"/>
        </w:rPr>
        <w:t> </w:t>
      </w:r>
      <w:r>
        <w:rPr/>
        <w:t>F e</w:t>
      </w:r>
      <w:r>
        <w:rPr>
          <w:spacing w:val="-4"/>
        </w:rPr>
        <w:t> </w:t>
      </w:r>
      <w:r>
        <w:rPr/>
        <w:t>j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9"/>
        </w:rPr>
        <w:t> </w:t>
      </w:r>
      <w:r>
        <w:rPr>
          <w:spacing w:val="-2"/>
        </w:rPr>
        <w:t>spojení:</w:t>
      </w:r>
      <w:r>
        <w:rPr/>
        <w:tab/>
      </w:r>
      <w:r>
        <w:rPr>
          <w:spacing w:val="-2"/>
        </w:rPr>
        <w:t>Raiffeisenbank</w:t>
      </w:r>
      <w:r>
        <w:rPr>
          <w:spacing w:val="14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1001035525/5500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9"/>
          <w:sz w:val="20"/>
        </w:rPr>
        <w:t> </w:t>
      </w:r>
      <w:r>
        <w:rPr>
          <w:sz w:val="20"/>
        </w:rPr>
        <w:t>jen</w:t>
      </w:r>
      <w:r>
        <w:rPr>
          <w:spacing w:val="-8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7241100133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14. 10. 2024 v</w:t>
      </w:r>
      <w:r>
        <w:rPr>
          <w:spacing w:val="-2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675"/>
        <w:jc w:val="left"/>
      </w:pPr>
      <w:r>
        <w:rPr/>
        <w:t>„1595</w:t>
      </w:r>
      <w:r>
        <w:rPr>
          <w:spacing w:val="-7"/>
        </w:rPr>
        <w:t> </w:t>
      </w:r>
      <w:r>
        <w:rPr/>
        <w:t>L.E.T.</w:t>
      </w:r>
      <w:r>
        <w:rPr>
          <w:spacing w:val="-7"/>
        </w:rPr>
        <w:t> </w:t>
      </w:r>
      <w:r>
        <w:rPr/>
        <w:t>Praha</w:t>
      </w:r>
      <w:r>
        <w:rPr>
          <w:spacing w:val="-6"/>
        </w:rPr>
        <w:t> </w:t>
      </w:r>
      <w:r>
        <w:rPr/>
        <w:t>Hostivařská</w:t>
      </w:r>
      <w:r>
        <w:rPr>
          <w:spacing w:val="-7"/>
        </w:rPr>
        <w:t> </w:t>
      </w:r>
      <w:r>
        <w:rPr/>
        <w:t>139/62</w:t>
      </w:r>
      <w:r>
        <w:rPr>
          <w:spacing w:val="41"/>
        </w:rPr>
        <w:t> </w:t>
      </w:r>
      <w:r>
        <w:rPr/>
        <w:t>FVE</w:t>
      </w:r>
      <w:r>
        <w:rPr>
          <w:spacing w:val="-7"/>
        </w:rPr>
        <w:t> </w:t>
      </w:r>
      <w:r>
        <w:rPr/>
        <w:t>14,76</w:t>
      </w:r>
      <w:r>
        <w:rPr>
          <w:spacing w:val="-7"/>
        </w:rPr>
        <w:t> </w:t>
      </w:r>
      <w:r>
        <w:rPr/>
        <w:t>kWp</w:t>
      </w:r>
      <w:r>
        <w:rPr>
          <w:spacing w:val="-7"/>
        </w:rPr>
        <w:t> </w:t>
      </w:r>
      <w:r>
        <w:rPr/>
        <w:t>Baterie</w:t>
      </w:r>
      <w:r>
        <w:rPr>
          <w:spacing w:val="-7"/>
        </w:rPr>
        <w:t> </w:t>
      </w:r>
      <w:r>
        <w:rPr/>
        <w:t>11,6</w:t>
      </w:r>
      <w:r>
        <w:rPr>
          <w:spacing w:val="-7"/>
        </w:rPr>
        <w:t> </w:t>
      </w:r>
      <w:r>
        <w:rPr>
          <w:spacing w:val="-4"/>
        </w:rPr>
        <w:t>kWh“</w:t>
      </w:r>
    </w:p>
    <w:p>
      <w:pPr>
        <w:pStyle w:val="BodyText"/>
        <w:spacing w:before="121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" w:after="0"/>
        <w:ind w:left="396" w:right="113" w:hanging="284"/>
        <w:jc w:val="both"/>
        <w:rPr>
          <w:sz w:val="20"/>
        </w:rPr>
      </w:pPr>
      <w:r>
        <w:rPr/>
        <w:tab/>
      </w:r>
      <w:r>
        <w:rPr>
          <w:sz w:val="20"/>
        </w:rPr>
        <w:t>Podpora je poskytována v souladu s "Nařízením Komise (EU) č. 1407/2013 ze dne 18. prosince 2013 o použití článků</w:t>
      </w:r>
      <w:r>
        <w:rPr>
          <w:spacing w:val="-12"/>
          <w:sz w:val="20"/>
        </w:rPr>
        <w:t> </w:t>
      </w:r>
      <w:r>
        <w:rPr>
          <w:sz w:val="20"/>
        </w:rPr>
        <w:t>107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108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12"/>
          <w:sz w:val="20"/>
        </w:rPr>
        <w:t> </w:t>
      </w:r>
      <w:r>
        <w:rPr>
          <w:sz w:val="20"/>
        </w:rPr>
        <w:t>Evropské</w:t>
      </w:r>
      <w:r>
        <w:rPr>
          <w:spacing w:val="-13"/>
          <w:sz w:val="20"/>
        </w:rPr>
        <w:t> </w:t>
      </w:r>
      <w:r>
        <w:rPr>
          <w:sz w:val="20"/>
        </w:rPr>
        <w:t>unie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minimis",</w:t>
      </w:r>
      <w:r>
        <w:rPr>
          <w:spacing w:val="-12"/>
          <w:sz w:val="20"/>
        </w:rPr>
        <w:t> </w:t>
      </w:r>
      <w:r>
        <w:rPr>
          <w:sz w:val="20"/>
        </w:rPr>
        <w:t>zveřejněném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Úředním</w:t>
      </w:r>
      <w:r>
        <w:rPr>
          <w:spacing w:val="-11"/>
          <w:sz w:val="20"/>
        </w:rPr>
        <w:t> </w:t>
      </w:r>
      <w:r>
        <w:rPr>
          <w:sz w:val="20"/>
        </w:rPr>
        <w:t>věstníku EU dne 24. 12. 2013.</w:t>
      </w:r>
    </w:p>
    <w:p>
      <w:pPr>
        <w:pStyle w:val="Heading1"/>
        <w:spacing w:before="1"/>
        <w:ind w:right="989"/>
      </w:pPr>
      <w:r>
        <w:rPr>
          <w:spacing w:val="-5"/>
        </w:rPr>
        <w:t>II.</w:t>
      </w:r>
    </w:p>
    <w:p>
      <w:pPr>
        <w:pStyle w:val="Heading2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176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853,22 Kč </w:t>
      </w:r>
      <w:r>
        <w:rPr>
          <w:sz w:val="20"/>
        </w:rPr>
        <w:t>(slovy: sto sedmdesát šest tisíc osm set padesát tři korun českých a dvacet dva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jejích</w:t>
      </w:r>
      <w:r>
        <w:rPr>
          <w:spacing w:val="-7"/>
          <w:sz w:val="20"/>
        </w:rPr>
        <w:t> </w:t>
      </w:r>
      <w:r>
        <w:rPr>
          <w:sz w:val="20"/>
        </w:rPr>
        <w:t>příloh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ind w:left="396"/>
        <w:jc w:val="both"/>
      </w:pPr>
      <w:r>
        <w:rPr/>
        <w:t>činí</w:t>
      </w:r>
      <w:r>
        <w:rPr>
          <w:spacing w:val="-5"/>
        </w:rPr>
        <w:t> </w:t>
      </w:r>
      <w:r>
        <w:rPr/>
        <w:t>589</w:t>
      </w:r>
      <w:r>
        <w:rPr>
          <w:spacing w:val="-5"/>
        </w:rPr>
        <w:t> </w:t>
      </w:r>
      <w:r>
        <w:rPr/>
        <w:t>510,74</w:t>
      </w:r>
      <w:r>
        <w:rPr>
          <w:spacing w:val="-5"/>
        </w:rPr>
        <w:t> 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8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5" w:lineRule="exact"/>
        <w:ind w:right="13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„1595 L.E.T.</w:t>
      </w:r>
      <w:r>
        <w:rPr>
          <w:spacing w:val="2"/>
          <w:sz w:val="20"/>
        </w:rPr>
        <w:t> </w:t>
      </w:r>
      <w:r>
        <w:rPr>
          <w:sz w:val="20"/>
        </w:rPr>
        <w:t>Praha</w:t>
      </w:r>
      <w:r>
        <w:rPr>
          <w:spacing w:val="-2"/>
          <w:sz w:val="20"/>
        </w:rPr>
        <w:t> </w:t>
      </w:r>
      <w:r>
        <w:rPr>
          <w:sz w:val="20"/>
        </w:rPr>
        <w:t>Hostivařská</w:t>
      </w:r>
      <w:r>
        <w:rPr>
          <w:spacing w:val="-1"/>
          <w:sz w:val="20"/>
        </w:rPr>
        <w:t> </w:t>
      </w:r>
      <w:r>
        <w:rPr>
          <w:sz w:val="20"/>
        </w:rPr>
        <w:t>139/62</w:t>
      </w:r>
      <w:r>
        <w:rPr>
          <w:spacing w:val="54"/>
          <w:sz w:val="20"/>
        </w:rPr>
        <w:t> </w:t>
      </w:r>
      <w:r>
        <w:rPr>
          <w:sz w:val="20"/>
        </w:rPr>
        <w:t>FVE 14,76</w:t>
      </w:r>
      <w:r>
        <w:rPr>
          <w:spacing w:val="-1"/>
          <w:sz w:val="20"/>
        </w:rPr>
        <w:t> </w:t>
      </w:r>
      <w:r>
        <w:rPr>
          <w:sz w:val="20"/>
        </w:rPr>
        <w:t>kWp</w:t>
      </w:r>
      <w:r>
        <w:rPr>
          <w:spacing w:val="-2"/>
          <w:sz w:val="20"/>
        </w:rPr>
        <w:t> </w:t>
      </w:r>
      <w:r>
        <w:rPr>
          <w:sz w:val="20"/>
        </w:rPr>
        <w:t>Baterie</w:t>
      </w:r>
      <w:r>
        <w:rPr>
          <w:spacing w:val="-1"/>
          <w:sz w:val="20"/>
        </w:rPr>
        <w:t> </w:t>
      </w:r>
      <w:r>
        <w:rPr>
          <w:sz w:val="20"/>
        </w:rPr>
        <w:t>11,6</w:t>
      </w:r>
      <w:r>
        <w:rPr>
          <w:spacing w:val="11"/>
          <w:sz w:val="20"/>
        </w:rPr>
        <w:t> </w:t>
      </w:r>
      <w:r>
        <w:rPr>
          <w:sz w:val="20"/>
        </w:rPr>
        <w:t>kWh“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bude</w:t>
      </w:r>
    </w:p>
    <w:p>
      <w:pPr>
        <w:pStyle w:val="BodyText"/>
        <w:spacing w:before="1"/>
        <w:ind w:left="756"/>
      </w:pPr>
      <w:r>
        <w:rPr/>
        <w:t>provedena</w:t>
      </w:r>
      <w:r>
        <w:rPr>
          <w:spacing w:val="-7"/>
        </w:rPr>
        <w:t> </w:t>
      </w: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5"/>
        </w:rPr>
        <w:t> </w:t>
      </w:r>
      <w:r>
        <w:rPr/>
        <w:t>s</w:t>
      </w:r>
      <w:r>
        <w:rPr>
          <w:spacing w:val="-4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0" w:after="0"/>
        <w:ind w:left="756" w:right="11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34"/>
          <w:sz w:val="20"/>
        </w:rPr>
        <w:t> </w:t>
      </w:r>
      <w:r>
        <w:rPr>
          <w:sz w:val="20"/>
        </w:rPr>
        <w:t>s</w:t>
      </w:r>
      <w:r>
        <w:rPr>
          <w:spacing w:val="29"/>
          <w:sz w:val="20"/>
        </w:rPr>
        <w:t> </w:t>
      </w:r>
      <w:r>
        <w:rPr>
          <w:sz w:val="20"/>
        </w:rPr>
        <w:t>předpokládaným výkonem 14 kWp a instalací akumulace o kapacitě 10 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19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10.44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14.76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11.35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34.32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13.20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37" w:lineRule="auto" w:before="123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spacing w:line="265" w:lineRule="exact"/>
        <w:ind w:right="1345"/>
      </w:pPr>
      <w:r>
        <w:rPr>
          <w:spacing w:val="-5"/>
        </w:rPr>
        <w:t>V.</w:t>
      </w:r>
    </w:p>
    <w:p>
      <w:pPr>
        <w:pStyle w:val="Heading2"/>
        <w:spacing w:line="265" w:lineRule="exact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4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2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49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102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2025-05-14T05:37:37Z</dcterms:created>
  <dcterms:modified xsi:type="dcterms:W3CDTF">2025-05-14T05:37:37Z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2025-05-14T00:00:00Z</vt:filetime>
  </property>
</Properties>
</file>