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AEA97ED" w14:textId="5A13A3BC" w:rsidR="00501407" w:rsidRPr="006853D6" w:rsidRDefault="003D0F95" w:rsidP="00267AC5">
      <w:pPr>
        <w:ind w:left="567" w:hanging="567"/>
        <w:rPr>
          <w:rFonts w:cs="Times New Roman"/>
          <w:highlight w:val="cyan"/>
        </w:rPr>
      </w:pPr>
      <w:r>
        <w:rPr>
          <w:rFonts w:cs="Times New Roman"/>
        </w:rPr>
        <w:t xml:space="preserve">zastoupený: Mgr. </w:t>
      </w:r>
      <w:r w:rsidR="00267AC5">
        <w:rPr>
          <w:rFonts w:cs="Times New Roman"/>
        </w:rPr>
        <w:t xml:space="preserve"> Jiří</w:t>
      </w:r>
      <w:r w:rsidR="00BF4801">
        <w:rPr>
          <w:rFonts w:cs="Times New Roman"/>
        </w:rPr>
        <w:t>m</w:t>
      </w:r>
      <w:r w:rsidR="00267AC5">
        <w:rPr>
          <w:rFonts w:cs="Times New Roman"/>
        </w:rPr>
        <w:t xml:space="preserve"> Čtyroký</w:t>
      </w:r>
      <w:r w:rsidR="00BF4801">
        <w:rPr>
          <w:rFonts w:cs="Times New Roman"/>
        </w:rPr>
        <w:t>m</w:t>
      </w:r>
      <w:r w:rsidR="00267AC5">
        <w:rPr>
          <w:rFonts w:cs="Times New Roman"/>
        </w:rPr>
        <w:t>, Ph. D. ředitel Sekce prostorových informací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C82848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24294D">
        <w:rPr>
          <w:rFonts w:cs="Times New Roman"/>
          <w:bCs/>
        </w:rPr>
        <w:t>xxx</w:t>
      </w:r>
    </w:p>
    <w:p w14:paraId="1570BA0A" w14:textId="7178A6F7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24294D">
        <w:rPr>
          <w:rFonts w:cs="Times New Roman"/>
          <w:bCs/>
        </w:rPr>
        <w:t>xxx</w:t>
      </w:r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6E56EC4" w14:textId="77777777" w:rsidR="00267AC5" w:rsidRPr="00E45AA3" w:rsidRDefault="00267AC5" w:rsidP="00267AC5">
      <w:pPr>
        <w:spacing w:line="276" w:lineRule="auto"/>
        <w:rPr>
          <w:rFonts w:cs="Times New Roman"/>
          <w:b/>
          <w:bCs/>
        </w:rPr>
      </w:pPr>
      <w:r w:rsidRPr="00E45AA3">
        <w:rPr>
          <w:rFonts w:cs="Times New Roman"/>
          <w:b/>
          <w:bCs/>
        </w:rPr>
        <w:t>TopGis s.</w:t>
      </w:r>
      <w:r>
        <w:rPr>
          <w:rFonts w:cs="Times New Roman"/>
          <w:b/>
          <w:bCs/>
        </w:rPr>
        <w:t xml:space="preserve"> </w:t>
      </w:r>
      <w:r w:rsidRPr="00E45AA3">
        <w:rPr>
          <w:rFonts w:cs="Times New Roman"/>
          <w:b/>
          <w:bCs/>
        </w:rPr>
        <w:t>r.</w:t>
      </w:r>
      <w:r>
        <w:rPr>
          <w:rFonts w:cs="Times New Roman"/>
          <w:b/>
          <w:bCs/>
        </w:rPr>
        <w:t xml:space="preserve"> </w:t>
      </w:r>
      <w:r w:rsidRPr="00E45AA3">
        <w:rPr>
          <w:rFonts w:cs="Times New Roman"/>
          <w:b/>
          <w:bCs/>
        </w:rPr>
        <w:t xml:space="preserve">o. </w:t>
      </w:r>
    </w:p>
    <w:p w14:paraId="1AD73018" w14:textId="3D6085A4" w:rsidR="00267AC5" w:rsidRPr="00E45AA3" w:rsidRDefault="00267AC5" w:rsidP="00267AC5">
      <w:pPr>
        <w:spacing w:line="276" w:lineRule="auto"/>
        <w:rPr>
          <w:rFonts w:cs="Times New Roman"/>
        </w:rPr>
      </w:pPr>
      <w:r w:rsidRPr="00E45AA3">
        <w:rPr>
          <w:rFonts w:cs="Times New Roman"/>
        </w:rPr>
        <w:t xml:space="preserve">zastoupený: </w:t>
      </w:r>
      <w:r w:rsidR="007343BA">
        <w:rPr>
          <w:rFonts w:cs="Times New Roman"/>
        </w:rPr>
        <w:t xml:space="preserve">Drahomírou Zedníčkovou, výkonnou ředitelkou na </w:t>
      </w:r>
      <w:r w:rsidR="007343BA" w:rsidRPr="00193423">
        <w:rPr>
          <w:rFonts w:cs="Times New Roman"/>
        </w:rPr>
        <w:t xml:space="preserve">základě plné moci ze dne </w:t>
      </w:r>
      <w:r w:rsidR="00193423" w:rsidRPr="00193423">
        <w:rPr>
          <w:rFonts w:cs="Times New Roman"/>
        </w:rPr>
        <w:t>9.4.</w:t>
      </w:r>
      <w:r w:rsidR="00193423">
        <w:rPr>
          <w:rFonts w:cs="Times New Roman"/>
        </w:rPr>
        <w:t>2025</w:t>
      </w:r>
    </w:p>
    <w:p w14:paraId="4C5CC8DB" w14:textId="77777777" w:rsidR="00267AC5" w:rsidRPr="00E45AA3" w:rsidRDefault="00267AC5" w:rsidP="00267AC5">
      <w:pPr>
        <w:spacing w:line="276" w:lineRule="auto"/>
        <w:rPr>
          <w:rFonts w:cs="Times New Roman"/>
        </w:rPr>
      </w:pPr>
      <w:r w:rsidRPr="00E45AA3">
        <w:rPr>
          <w:rFonts w:cs="Times New Roman"/>
        </w:rPr>
        <w:t>sídlo: Svatopetrská 35/7, Komárov, 617 00 Brno</w:t>
      </w:r>
    </w:p>
    <w:p w14:paraId="1E9265FB" w14:textId="77777777" w:rsidR="00267AC5" w:rsidRPr="00A11AF5" w:rsidRDefault="00267AC5" w:rsidP="00267AC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zapsaný: </w:t>
      </w:r>
      <w:r>
        <w:rPr>
          <w:rFonts w:cs="Times New Roman"/>
        </w:rPr>
        <w:t xml:space="preserve">v obchodním rejstříku vedeném Krajským soudem v Brně oddíl C, vložka 63741  </w:t>
      </w:r>
    </w:p>
    <w:p w14:paraId="715F21A7" w14:textId="77777777" w:rsidR="00267AC5" w:rsidRPr="00A11AF5" w:rsidRDefault="00267AC5" w:rsidP="00267AC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IČO: </w:t>
      </w:r>
      <w:r w:rsidRPr="00E45AA3">
        <w:rPr>
          <w:rFonts w:cs="Times New Roman"/>
        </w:rPr>
        <w:t>29182263</w:t>
      </w:r>
    </w:p>
    <w:p w14:paraId="699AEAD8" w14:textId="77777777" w:rsidR="00267AC5" w:rsidRPr="007343BA" w:rsidRDefault="00267AC5" w:rsidP="00267AC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>DIČ</w:t>
      </w:r>
      <w:r w:rsidRPr="007343BA">
        <w:rPr>
          <w:rFonts w:cs="Times New Roman"/>
        </w:rPr>
        <w:t xml:space="preserve">: CZ29182263  </w:t>
      </w:r>
    </w:p>
    <w:p w14:paraId="77303EF3" w14:textId="5B1C92B9" w:rsidR="00267AC5" w:rsidRPr="007343BA" w:rsidRDefault="00267AC5" w:rsidP="00267AC5">
      <w:pPr>
        <w:spacing w:line="276" w:lineRule="auto"/>
        <w:rPr>
          <w:rFonts w:cs="Times New Roman"/>
        </w:rPr>
      </w:pPr>
      <w:r w:rsidRPr="007343BA">
        <w:rPr>
          <w:rFonts w:cs="Times New Roman"/>
        </w:rPr>
        <w:t xml:space="preserve">bankovní spojení: </w:t>
      </w:r>
      <w:r w:rsidR="0024294D">
        <w:rPr>
          <w:rFonts w:cs="Times New Roman"/>
        </w:rPr>
        <w:t>xxx</w:t>
      </w:r>
      <w:r w:rsidRPr="007343BA">
        <w:rPr>
          <w:rFonts w:cs="Times New Roman"/>
        </w:rPr>
        <w:t xml:space="preserve"> </w:t>
      </w:r>
    </w:p>
    <w:p w14:paraId="10EBF25B" w14:textId="069DC3A7" w:rsidR="00267AC5" w:rsidRPr="00A11AF5" w:rsidRDefault="00267AC5" w:rsidP="00267AC5">
      <w:pPr>
        <w:spacing w:line="276" w:lineRule="auto"/>
        <w:rPr>
          <w:rFonts w:cs="Times New Roman"/>
        </w:rPr>
      </w:pPr>
      <w:r w:rsidRPr="007343BA">
        <w:rPr>
          <w:rFonts w:cs="Times New Roman"/>
        </w:rPr>
        <w:t xml:space="preserve">číslo účtu: </w:t>
      </w:r>
      <w:r w:rsidR="0024294D">
        <w:rPr>
          <w:rFonts w:cs="Times New Roman"/>
        </w:rPr>
        <w:t>xxx</w:t>
      </w:r>
    </w:p>
    <w:p w14:paraId="6BCF4A09" w14:textId="605C966B" w:rsidR="00347907" w:rsidRPr="00A15479" w:rsidRDefault="00267AC5" w:rsidP="00267AC5">
      <w:pPr>
        <w:spacing w:line="276" w:lineRule="auto"/>
        <w:rPr>
          <w:rFonts w:cs="Times New Roman"/>
        </w:rPr>
      </w:pPr>
      <w:r w:rsidRPr="00052F99">
        <w:rPr>
          <w:rFonts w:cs="Times New Roman"/>
          <w:b/>
        </w:rPr>
        <w:t>plátce</w:t>
      </w:r>
      <w:r w:rsidRPr="00A11AF5">
        <w:rPr>
          <w:rFonts w:cs="Times New Roman"/>
        </w:rPr>
        <w:t xml:space="preserve">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73ACEAF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267AC5" w:rsidRPr="00A11AF5">
        <w:rPr>
          <w:rFonts w:cs="Times New Roman"/>
          <w:b/>
        </w:rPr>
        <w:t xml:space="preserve">Aktualizace modelu </w:t>
      </w:r>
      <w:r w:rsidR="00267AC5">
        <w:rPr>
          <w:rFonts w:cs="Times New Roman"/>
          <w:b/>
        </w:rPr>
        <w:t>terénu v záplavovém území Vltavy a Berounky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bookmarkEnd w:id="0"/>
    <w:p w14:paraId="22F24ED0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t>Preambule</w:t>
      </w:r>
    </w:p>
    <w:p w14:paraId="44C63BB5" w14:textId="77777777" w:rsidR="00267AC5" w:rsidRPr="00A11AF5" w:rsidRDefault="00267AC5" w:rsidP="00267AC5">
      <w:pPr>
        <w:spacing w:after="120" w:line="276" w:lineRule="auto"/>
        <w:jc w:val="both"/>
        <w:rPr>
          <w:rFonts w:cs="Times New Roman"/>
        </w:rPr>
      </w:pPr>
      <w:bookmarkStart w:id="1" w:name="_Hlk145583890"/>
      <w:r w:rsidRPr="00A11AF5">
        <w:rPr>
          <w:rFonts w:cs="Times New Roman"/>
        </w:rPr>
        <w:t>Smluvní strany uzavírají smlouvu na základě zadání veřejné zakázky malého rozsahu s názvem „</w:t>
      </w:r>
      <w:r w:rsidRPr="00A11AF5">
        <w:rPr>
          <w:rFonts w:cs="Times New Roman"/>
          <w:b/>
        </w:rPr>
        <w:t xml:space="preserve">Aktualizace modelu </w:t>
      </w:r>
      <w:r>
        <w:rPr>
          <w:rFonts w:cs="Times New Roman"/>
          <w:b/>
        </w:rPr>
        <w:t>terénu v záplavovém území Vltavy a Berounky</w:t>
      </w:r>
      <w:r w:rsidRPr="00A11AF5">
        <w:rPr>
          <w:rFonts w:cs="Times New Roman"/>
        </w:rPr>
        <w:t xml:space="preserve">“, zadávanou objednatelem jako veřejným zadavatelem v souladu s ustanovením § 6 a § 31 zákona č. 134/2016 Sb., o zadávání veřejných zakázek, ve znění pozdějších předpisů, pod interním číslem </w:t>
      </w:r>
      <w:r w:rsidRPr="00A11AF5">
        <w:rPr>
          <w:rFonts w:cs="Times New Roman"/>
          <w:b/>
        </w:rPr>
        <w:t>ZAK </w:t>
      </w:r>
      <w:r>
        <w:rPr>
          <w:rFonts w:cs="Times New Roman"/>
          <w:b/>
        </w:rPr>
        <w:t>25-0105</w:t>
      </w:r>
      <w:r w:rsidRPr="00A11AF5">
        <w:rPr>
          <w:rFonts w:cs="Times New Roman"/>
        </w:rPr>
        <w:t xml:space="preserve"> (dále jen „</w:t>
      </w:r>
      <w:r w:rsidRPr="00A11AF5">
        <w:rPr>
          <w:rFonts w:cs="Times New Roman"/>
          <w:b/>
        </w:rPr>
        <w:t>zadávací řízení</w:t>
      </w:r>
      <w:r w:rsidRPr="00A11AF5">
        <w:rPr>
          <w:rFonts w:cs="Times New Roman"/>
        </w:rPr>
        <w:t>“ a „</w:t>
      </w:r>
      <w:r w:rsidRPr="00A11AF5">
        <w:rPr>
          <w:rFonts w:cs="Times New Roman"/>
          <w:b/>
        </w:rPr>
        <w:t>veřejná zakázka</w:t>
      </w:r>
      <w:r w:rsidRPr="00A11AF5">
        <w:rPr>
          <w:rFonts w:cs="Times New Roman"/>
        </w:rPr>
        <w:t>“).</w:t>
      </w:r>
    </w:p>
    <w:bookmarkEnd w:id="1"/>
    <w:p w14:paraId="458D63FF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lastRenderedPageBreak/>
        <w:t>I. Předmět smlouvy</w:t>
      </w:r>
    </w:p>
    <w:p w14:paraId="5C41F6D7" w14:textId="77777777" w:rsidR="00267AC5" w:rsidRPr="00A11AF5" w:rsidRDefault="00267AC5" w:rsidP="00267AC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1AF5">
        <w:rPr>
          <w:rFonts w:cs="Times New Roman"/>
        </w:rPr>
        <w:t xml:space="preserve">Zhotovitel se zavazuje dílo provést pro objednatele, v souladu s jeho požadavky, v termínu, rozsahu, </w:t>
      </w:r>
      <w:r w:rsidRPr="00A11AF5">
        <w:rPr>
          <w:rFonts w:cs="Times New Roman"/>
        </w:rPr>
        <w:br/>
        <w:t xml:space="preserve">za podmínek sjednaných ve smlouvě, vlastním jménem, na svůj náklad a na vlastní odpovědnost a nebezpečí. Předmětem smlouvy je </w:t>
      </w:r>
      <w:r w:rsidRPr="00F23720">
        <w:rPr>
          <w:rFonts w:cs="Times New Roman"/>
        </w:rPr>
        <w:t>zpracování Aktualizace modelu terénu v záplavovém území Vltavy a Berounky (</w:t>
      </w:r>
      <w:r w:rsidRPr="00A11AF5">
        <w:rPr>
          <w:rFonts w:cs="Times New Roman"/>
        </w:rPr>
        <w:t xml:space="preserve">dále jen </w:t>
      </w:r>
      <w:r w:rsidRPr="00A11AF5">
        <w:rPr>
          <w:rFonts w:cs="Times New Roman"/>
          <w:b/>
        </w:rPr>
        <w:t>„dílo“</w:t>
      </w:r>
      <w:r w:rsidRPr="00A11AF5">
        <w:rPr>
          <w:rFonts w:cs="Times New Roman"/>
        </w:rPr>
        <w:t xml:space="preserve"> nebo </w:t>
      </w:r>
      <w:r w:rsidRPr="00A11AF5">
        <w:rPr>
          <w:rFonts w:cs="Times New Roman"/>
          <w:b/>
        </w:rPr>
        <w:t>„předmět smlouvy“</w:t>
      </w:r>
      <w:r w:rsidRPr="00A11AF5">
        <w:rPr>
          <w:rFonts w:cs="Times New Roman"/>
        </w:rPr>
        <w:t>).</w:t>
      </w:r>
    </w:p>
    <w:p w14:paraId="69A781B3" w14:textId="77777777" w:rsidR="00267AC5" w:rsidRPr="00A11AF5" w:rsidRDefault="00267AC5" w:rsidP="00267AC5">
      <w:pPr>
        <w:pStyle w:val="Odstavecseseznamem"/>
        <w:spacing w:after="160" w:line="259" w:lineRule="auto"/>
        <w:ind w:left="0"/>
        <w:jc w:val="both"/>
        <w:rPr>
          <w:rFonts w:cs="Times New Roman"/>
        </w:rPr>
      </w:pPr>
      <w:r w:rsidRPr="00F23720">
        <w:rPr>
          <w:rFonts w:cs="Times New Roman"/>
        </w:rPr>
        <w:t xml:space="preserve">Důvodem zadání je potřeba aktualizace modelu kvůli zastaralosti dat (poslední aktualizace 2018). </w:t>
      </w:r>
      <w:r>
        <w:rPr>
          <w:rFonts w:cs="Times New Roman"/>
        </w:rPr>
        <w:br/>
      </w:r>
      <w:r w:rsidRPr="00F23720">
        <w:rPr>
          <w:rFonts w:cs="Times New Roman"/>
        </w:rPr>
        <w:t>Je</w:t>
      </w:r>
      <w:r>
        <w:rPr>
          <w:rFonts w:cs="Times New Roman"/>
        </w:rPr>
        <w:t xml:space="preserve"> </w:t>
      </w:r>
      <w:r w:rsidRPr="00F23720">
        <w:rPr>
          <w:rFonts w:cs="Times New Roman"/>
        </w:rPr>
        <w:t>potřeba zaznamenat změny v území a zapracovat do existujících dat. Bude použito pro aktualizaci datové</w:t>
      </w:r>
      <w:r>
        <w:rPr>
          <w:rFonts w:cs="Times New Roman"/>
        </w:rPr>
        <w:t xml:space="preserve"> </w:t>
      </w:r>
      <w:r w:rsidRPr="00F23720">
        <w:rPr>
          <w:rFonts w:cs="Times New Roman"/>
        </w:rPr>
        <w:t>sady a také pro potřeby hydrodynamického modelování (spolupráce s externí firmou, mapy povodňových</w:t>
      </w:r>
      <w:r>
        <w:rPr>
          <w:rFonts w:cs="Times New Roman"/>
        </w:rPr>
        <w:t xml:space="preserve"> </w:t>
      </w:r>
      <w:r w:rsidRPr="00F23720">
        <w:rPr>
          <w:rFonts w:cs="Times New Roman"/>
        </w:rPr>
        <w:t>rizik). Zakázka bude realizována na základě cenové nabídky společnosti TOPGIS.</w:t>
      </w:r>
    </w:p>
    <w:p w14:paraId="5A27A9EF" w14:textId="77777777" w:rsidR="00267AC5" w:rsidRPr="00A11AF5" w:rsidRDefault="00267AC5" w:rsidP="00267AC5">
      <w:pPr>
        <w:pStyle w:val="Odstavecseseznamem"/>
        <w:ind w:left="1287"/>
        <w:jc w:val="both"/>
        <w:rPr>
          <w:rFonts w:cs="Times New Roman"/>
        </w:rPr>
      </w:pPr>
    </w:p>
    <w:p w14:paraId="40FF1C93" w14:textId="6A1C3DA9" w:rsidR="00A60C46" w:rsidRPr="00193423" w:rsidRDefault="00267AC5" w:rsidP="00267AC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EA6F59">
        <w:rPr>
          <w:rFonts w:cs="Times New Roman"/>
        </w:rPr>
        <w:t xml:space="preserve">Předmětem zakázky je </w:t>
      </w:r>
      <w:r w:rsidRPr="00193423">
        <w:rPr>
          <w:rFonts w:cs="Times New Roman"/>
        </w:rPr>
        <w:t xml:space="preserve">aktualizace stávajícího vektorového modelu terénu (formát DGN) </w:t>
      </w:r>
      <w:r w:rsidR="008069A0" w:rsidRPr="00193423">
        <w:rPr>
          <w:rFonts w:cs="Times New Roman"/>
        </w:rPr>
        <w:br/>
      </w:r>
      <w:r w:rsidRPr="00193423">
        <w:rPr>
          <w:rFonts w:cs="Times New Roman"/>
        </w:rPr>
        <w:t>z objednatelem dodaných dat v zájmovém území, bližší podrobnosti uvedeny v technické specifikaci.</w:t>
      </w:r>
    </w:p>
    <w:p w14:paraId="6ED93002" w14:textId="1A779635" w:rsidR="00A60C46" w:rsidRPr="00193423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193423">
        <w:rPr>
          <w:rFonts w:cs="Times New Roman"/>
        </w:rPr>
        <w:t> </w:t>
      </w:r>
      <w:r w:rsidRPr="00193423">
        <w:rPr>
          <w:rFonts w:cs="Times New Roman"/>
        </w:rPr>
        <w:t>zčásti postoupí (dále jen „licence“). Osobnostní práva autora dle § 11 autorského zákona zůstávají zachována.</w:t>
      </w:r>
    </w:p>
    <w:p w14:paraId="397F907D" w14:textId="77777777" w:rsidR="008069A0" w:rsidRPr="008069A0" w:rsidRDefault="00883398" w:rsidP="0075102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 xml:space="preserve">Objednatel se zavazuje poskytnout zhotoviteli </w:t>
      </w:r>
      <w:r w:rsidR="00DA6E4E" w:rsidRPr="00193423">
        <w:rPr>
          <w:rFonts w:cs="Times New Roman"/>
        </w:rPr>
        <w:t xml:space="preserve">součinnost nutnou </w:t>
      </w:r>
      <w:r w:rsidRPr="00193423">
        <w:rPr>
          <w:rFonts w:cs="Times New Roman"/>
        </w:rPr>
        <w:t>k realizaci díla</w:t>
      </w:r>
      <w:r w:rsidR="00922705" w:rsidRPr="00193423">
        <w:rPr>
          <w:rFonts w:cs="Times New Roman"/>
        </w:rPr>
        <w:t xml:space="preserve"> a zavazuje se řádně provedené a dokončené dílo od zhotovitele převzít a zaplatit mu</w:t>
      </w:r>
      <w:r w:rsidR="00922705" w:rsidRPr="008069A0">
        <w:rPr>
          <w:rFonts w:cs="Times New Roman"/>
        </w:rPr>
        <w:t xml:space="preserve"> cenu ve výši a za podmínek dále stanovených</w:t>
      </w:r>
      <w:r w:rsidR="005B5118" w:rsidRPr="008069A0">
        <w:rPr>
          <w:rFonts w:cs="Times New Roman"/>
        </w:rPr>
        <w:t>.</w:t>
      </w:r>
    </w:p>
    <w:p w14:paraId="4CE6D85C" w14:textId="052D64C5" w:rsidR="00DB0698" w:rsidRPr="008069A0" w:rsidRDefault="001D54B4" w:rsidP="0075102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>Podrobná specifikace předmětu smlouvy je uvedena v</w:t>
      </w:r>
      <w:r w:rsidR="00D81B70" w:rsidRPr="008069A0">
        <w:rPr>
          <w:rFonts w:cs="Times New Roman"/>
        </w:rPr>
        <w:t> </w:t>
      </w:r>
      <w:r w:rsidR="006B64EC" w:rsidRPr="008069A0">
        <w:rPr>
          <w:rFonts w:cs="Times New Roman"/>
        </w:rPr>
        <w:t>p</w:t>
      </w:r>
      <w:r w:rsidRPr="008069A0">
        <w:rPr>
          <w:rFonts w:cs="Times New Roman"/>
        </w:rPr>
        <w:t xml:space="preserve">říloze č. 1, která tvoří nedílnou součást </w:t>
      </w:r>
      <w:r w:rsidRPr="008069A0">
        <w:t>této</w:t>
      </w:r>
      <w:r w:rsidR="00707DF5" w:rsidRPr="008069A0">
        <w:t> </w:t>
      </w:r>
      <w:r w:rsidRPr="008069A0">
        <w:t>smlouvy</w:t>
      </w:r>
      <w:r w:rsidR="003F6D6A" w:rsidRPr="008069A0">
        <w:rPr>
          <w:rFonts w:cs="Times New Roman"/>
        </w:rPr>
        <w:t>.</w:t>
      </w:r>
    </w:p>
    <w:p w14:paraId="60AA7F95" w14:textId="6CE00B3E" w:rsidR="00FE2031" w:rsidRPr="008069A0" w:rsidRDefault="002A1B71" w:rsidP="008069A0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>Plnění předmětu smlouvy bude provedeno za podmínek stanovených v této smlouvě</w:t>
      </w:r>
      <w:r w:rsidR="008069A0" w:rsidRPr="008069A0">
        <w:rPr>
          <w:rFonts w:cs="Times New Roman"/>
          <w:bCs/>
        </w:rPr>
        <w:t>.</w:t>
      </w:r>
    </w:p>
    <w:p w14:paraId="07ED6E58" w14:textId="375512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 xml:space="preserve">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 je i veškerá činnost </w:t>
      </w:r>
      <w:r w:rsidR="00CA37E5" w:rsidRPr="008069A0">
        <w:rPr>
          <w:rFonts w:cs="Times New Roman"/>
        </w:rPr>
        <w:t>z</w:t>
      </w:r>
      <w:r w:rsidRPr="008069A0">
        <w:rPr>
          <w:rFonts w:cs="Times New Roman"/>
        </w:rPr>
        <w:t xml:space="preserve">hotovitele nezbytná k provádění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a k jeho zdárnému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>kompletnímu dokon</w:t>
      </w:r>
      <w:r w:rsidR="00560B19" w:rsidRPr="008069A0">
        <w:rPr>
          <w:rFonts w:cs="Times New Roman"/>
        </w:rPr>
        <w:t>čení, zejména prezentace návrhu a</w:t>
      </w:r>
      <w:r w:rsidRPr="008069A0">
        <w:rPr>
          <w:rFonts w:cs="Times New Roman"/>
        </w:rPr>
        <w:t xml:space="preserve"> komunikace s</w:t>
      </w:r>
      <w:r w:rsidR="00227E02" w:rsidRPr="008069A0">
        <w:rPr>
          <w:rFonts w:cs="Times New Roman"/>
        </w:rPr>
        <w:t xml:space="preserve"> klíčovými </w:t>
      </w:r>
      <w:r w:rsidRPr="008069A0">
        <w:rPr>
          <w:rFonts w:cs="Times New Roman"/>
        </w:rPr>
        <w:t xml:space="preserve">aktéry. 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je i provedení prací, neuvedených ve výčtu tohoto článku, avšak nezbytných k řádnému dokončení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 xml:space="preserve">umožnění užívání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íla, o kterých </w:t>
      </w:r>
      <w:r w:rsidR="00F45252" w:rsidRPr="008069A0">
        <w:rPr>
          <w:rFonts w:cs="Times New Roman"/>
        </w:rPr>
        <w:t>z</w:t>
      </w:r>
      <w:r w:rsidRPr="008069A0">
        <w:rPr>
          <w:rFonts w:cs="Times New Roman"/>
        </w:rPr>
        <w:t>hotovitel vzhledem</w:t>
      </w:r>
      <w:r w:rsidRPr="00A15479">
        <w:rPr>
          <w:rFonts w:cs="Times New Roman"/>
        </w:rPr>
        <w:t xml:space="preserve">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5648A5F4" w:rsidR="00CE703C" w:rsidRPr="00A15479" w:rsidRDefault="006313DB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249.700,-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8069A0">
        <w:rPr>
          <w:rFonts w:cs="Times New Roman"/>
        </w:rPr>
        <w:t>dvě stě čtyřicet devět tisíc sedm set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2434C1FF" w:rsidR="002D672A" w:rsidRDefault="006313D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302.137,-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 w:rsidR="008069A0">
        <w:rPr>
          <w:rFonts w:cs="Times New Roman"/>
        </w:rPr>
        <w:t>tři sta dva tisíce jedno sto třicet sedm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3"/>
    <w:bookmarkEnd w:id="4"/>
    <w:p w14:paraId="42B532F7" w14:textId="719BF859" w:rsidR="002A1B71" w:rsidRPr="00A15479" w:rsidRDefault="003C0923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</w:t>
      </w:r>
      <w:r w:rsidR="002A1B71" w:rsidRPr="00A15479">
        <w:rPr>
          <w:rFonts w:cs="Times New Roman"/>
        </w:rPr>
        <w:t xml:space="preserve">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="002A1B71"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5138FC56" w14:textId="550519AD" w:rsidR="001F38CB" w:rsidRPr="006313DB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771D7A3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 xml:space="preserve">Na </w:t>
      </w:r>
      <w:r w:rsidR="0031420E" w:rsidRPr="006313DB">
        <w:rPr>
          <w:rFonts w:cs="Times New Roman"/>
          <w:b/>
        </w:rPr>
        <w:t>faktuře musí být uvedeno číslo smlouvy</w:t>
      </w:r>
      <w:r w:rsidR="001725C2" w:rsidRPr="006313DB">
        <w:rPr>
          <w:rFonts w:cs="Times New Roman"/>
          <w:b/>
        </w:rPr>
        <w:t xml:space="preserve">. </w:t>
      </w:r>
      <w:r w:rsidR="00D27939" w:rsidRPr="006313DB">
        <w:rPr>
          <w:rFonts w:cs="Times New Roman"/>
        </w:rPr>
        <w:t>Zhotovite</w:t>
      </w:r>
      <w:r w:rsidR="00D27939" w:rsidRPr="006313DB">
        <w:t xml:space="preserve">l je povinen </w:t>
      </w:r>
      <w:r w:rsidR="00D27939" w:rsidRPr="006313DB">
        <w:rPr>
          <w:b/>
        </w:rPr>
        <w:t>zaslat fakturu ve formátu .pdf na e-mailovou adresu kontaktní osoby objednatele</w:t>
      </w:r>
      <w:r w:rsidR="006313DB" w:rsidRPr="006313DB">
        <w:rPr>
          <w:b/>
        </w:rPr>
        <w:t xml:space="preserve"> a</w:t>
      </w:r>
      <w:r w:rsidR="00D27939" w:rsidRPr="006313DB">
        <w:rPr>
          <w:b/>
        </w:rPr>
        <w:t xml:space="preserve"> na e-mailovou adresu </w:t>
      </w:r>
      <w:hyperlink r:id="rId12" w:history="1">
        <w:r w:rsidR="00D27939" w:rsidRPr="006313DB">
          <w:rPr>
            <w:rStyle w:val="Hypertextovodkaz"/>
            <w:b/>
          </w:rPr>
          <w:t>faktura</w:t>
        </w:r>
        <w:r w:rsidR="00D27939" w:rsidRPr="006313DB">
          <w:rPr>
            <w:rStyle w:val="Hypertextovodkaz"/>
            <w:b/>
            <w:lang w:val="en-GB"/>
          </w:rPr>
          <w:t>@</w:t>
        </w:r>
        <w:r w:rsidR="00D27939" w:rsidRPr="006313DB">
          <w:rPr>
            <w:rStyle w:val="Hypertextovodkaz"/>
            <w:b/>
          </w:rPr>
          <w:t>ipr.praha.eu</w:t>
        </w:r>
      </w:hyperlink>
      <w:r w:rsidR="00D27939" w:rsidRPr="006313DB">
        <w:t xml:space="preserve">. </w:t>
      </w:r>
      <w:r w:rsidR="000F2124" w:rsidRPr="006313DB">
        <w:rPr>
          <w:rFonts w:cs="Times New Roman"/>
        </w:rPr>
        <w:t>Úhrada faktur bude provedena převodním příkazem na bankovní účet uvedený na</w:t>
      </w:r>
      <w:r w:rsidR="00D7501C" w:rsidRPr="006313DB">
        <w:rPr>
          <w:rFonts w:cs="Times New Roman"/>
        </w:rPr>
        <w:t> </w:t>
      </w:r>
      <w:r w:rsidR="000F2124" w:rsidRPr="006313DB">
        <w:rPr>
          <w:rFonts w:cs="Times New Roman"/>
        </w:rPr>
        <w:t>faktuře zhotovitele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</w:t>
      </w:r>
      <w:r w:rsidR="00AF0C57" w:rsidRPr="00A15479">
        <w:rPr>
          <w:rFonts w:cs="Times New Roman"/>
        </w:rPr>
        <w:lastRenderedPageBreak/>
        <w:t>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4D14DC43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6313DB">
        <w:rPr>
          <w:rFonts w:cs="Times New Roman"/>
        </w:rPr>
        <w:t xml:space="preserve">do </w:t>
      </w:r>
      <w:r w:rsidR="006313DB" w:rsidRPr="006313DB">
        <w:rPr>
          <w:rFonts w:cs="Times New Roman"/>
          <w:b/>
          <w:bCs/>
        </w:rPr>
        <w:t>30.6.2025.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</w:t>
      </w:r>
      <w:r w:rsidRPr="006313DB">
        <w:rPr>
          <w:rFonts w:cs="Times New Roman"/>
        </w:rPr>
        <w:t>povinna neprodleně informovat druhou smluvní stranu. Nesplní-li tuto povinnost, není oprávněna se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těchto okolností dovolávat. Přesáhne-li doba trvání prodlení na straně zhotovitele z těchto důvodů</w:t>
      </w:r>
      <w:r w:rsidR="00BC08EB" w:rsidRPr="006313DB">
        <w:rPr>
          <w:rFonts w:cs="Times New Roman"/>
        </w:rPr>
        <w:t xml:space="preserve"> </w:t>
      </w:r>
      <w:r w:rsidRPr="006313DB">
        <w:rPr>
          <w:rFonts w:cs="Times New Roman"/>
        </w:rPr>
        <w:t>15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</w:t>
      </w:r>
      <w:r w:rsidRPr="00A15479">
        <w:rPr>
          <w:rFonts w:cs="Times New Roman"/>
        </w:rPr>
        <w:t xml:space="preserve">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43051F7F" w:rsidR="009E4AB3" w:rsidRPr="003B6334" w:rsidRDefault="009E4AB3" w:rsidP="006313DB">
      <w:pPr>
        <w:spacing w:after="120" w:line="276" w:lineRule="auto"/>
        <w:jc w:val="both"/>
        <w:rPr>
          <w:rFonts w:cs="Times New Roman"/>
          <w:highlight w:val="cyan"/>
        </w:rPr>
      </w:pP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F5D9A2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C738FBD" w14:textId="2105EC68" w:rsidR="00C963D7" w:rsidRPr="00CF0C1C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specifikace </w:t>
      </w:r>
      <w:r w:rsidRPr="00CF0C1C">
        <w:rPr>
          <w:rFonts w:cs="Times New Roman"/>
        </w:rPr>
        <w:t>forem odevzdání díla</w:t>
      </w:r>
      <w:r w:rsidR="00CF0C1C" w:rsidRPr="00CF0C1C">
        <w:rPr>
          <w:rFonts w:cs="Times New Roman"/>
        </w:rPr>
        <w:t xml:space="preserve"> </w:t>
      </w:r>
      <w:r w:rsidRPr="00CF0C1C">
        <w:rPr>
          <w:rFonts w:cs="Times New Roman"/>
        </w:rPr>
        <w:t>je uvedena v příloze č. 1 této smlouvy.</w:t>
      </w:r>
    </w:p>
    <w:p w14:paraId="1DE82414" w14:textId="77777777" w:rsidR="00CF0C1C" w:rsidRDefault="003A3BD5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Objednatel</w:t>
      </w:r>
      <w:r w:rsidR="00CF0C1C" w:rsidRPr="00CF0C1C">
        <w:rPr>
          <w:rFonts w:cs="Times New Roman"/>
        </w:rPr>
        <w:t xml:space="preserve"> </w:t>
      </w:r>
      <w:r w:rsidR="00F60621" w:rsidRPr="00CF0C1C">
        <w:rPr>
          <w:rFonts w:cs="Times New Roman"/>
        </w:rPr>
        <w:t>je povinen předan</w:t>
      </w:r>
      <w:r w:rsidR="000B28B7" w:rsidRPr="00CF0C1C">
        <w:rPr>
          <w:rFonts w:cs="Times New Roman"/>
        </w:rPr>
        <w:t xml:space="preserve">é dílo </w:t>
      </w:r>
      <w:r w:rsidR="00F60621" w:rsidRPr="00CF0C1C">
        <w:rPr>
          <w:rFonts w:cs="Times New Roman"/>
        </w:rPr>
        <w:t xml:space="preserve">zkontrolovat a </w:t>
      </w:r>
      <w:r w:rsidR="000B28B7" w:rsidRPr="00CF0C1C">
        <w:rPr>
          <w:rFonts w:cs="Times New Roman"/>
        </w:rPr>
        <w:t>písemně zhotoviteli sdělit formou akceptačního protokolu, zda dílo odsouhlasil, či nikoliv</w:t>
      </w:r>
      <w:r w:rsidR="00CF0C1C" w:rsidRPr="00CF0C1C">
        <w:rPr>
          <w:rFonts w:cs="Times New Roman"/>
        </w:rPr>
        <w:t>.</w:t>
      </w:r>
    </w:p>
    <w:p w14:paraId="24A771CA" w14:textId="5B105DB7" w:rsidR="000C3E19" w:rsidRPr="00CF0C1C" w:rsidRDefault="001D54B4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Akceptační protokol bude podepsán</w:t>
      </w:r>
      <w:r w:rsidR="00A74551" w:rsidRPr="00CF0C1C">
        <w:rPr>
          <w:rFonts w:cs="Times New Roman"/>
        </w:rPr>
        <w:t xml:space="preserve"> s účinky předaného díla</w:t>
      </w:r>
      <w:r w:rsidRPr="00CF0C1C">
        <w:rPr>
          <w:rFonts w:cs="Times New Roman"/>
        </w:rPr>
        <w:t xml:space="preserve"> pouze tehdy, bude-li předávané předm</w:t>
      </w:r>
      <w:r w:rsidR="00EF70E1" w:rsidRPr="00CF0C1C">
        <w:rPr>
          <w:rFonts w:cs="Times New Roman"/>
        </w:rPr>
        <w:t>ětné dílo splňovat požadavky na </w:t>
      </w:r>
      <w:r w:rsidRPr="00CF0C1C">
        <w:rPr>
          <w:rFonts w:cs="Times New Roman"/>
        </w:rPr>
        <w:t>kvalitu stanovené v čl. V</w:t>
      </w:r>
      <w:r w:rsidR="002D2B5D" w:rsidRPr="00CF0C1C">
        <w:rPr>
          <w:rFonts w:cs="Times New Roman"/>
        </w:rPr>
        <w:t>I</w:t>
      </w:r>
      <w:r w:rsidRPr="00CF0C1C">
        <w:rPr>
          <w:rFonts w:cs="Times New Roman"/>
        </w:rPr>
        <w:t xml:space="preserve"> této smlouvy. Teprve podpisem akceptačníh</w:t>
      </w:r>
      <w:r w:rsidR="00502231" w:rsidRPr="00CF0C1C">
        <w:rPr>
          <w:rFonts w:cs="Times New Roman"/>
        </w:rPr>
        <w:t>o protokolu</w:t>
      </w:r>
      <w:r w:rsidR="00A74551" w:rsidRPr="00CF0C1C">
        <w:rPr>
          <w:rFonts w:cs="Times New Roman"/>
        </w:rPr>
        <w:t xml:space="preserve"> bez výhrad či s výhradou těch vad,</w:t>
      </w:r>
      <w:r w:rsidR="00BC08EB" w:rsidRPr="00CF0C1C">
        <w:rPr>
          <w:rFonts w:cs="Times New Roman"/>
        </w:rPr>
        <w:t xml:space="preserve"> </w:t>
      </w:r>
      <w:r w:rsidR="00A74551" w:rsidRPr="00CF0C1C">
        <w:rPr>
          <w:rFonts w:cs="Times New Roman"/>
        </w:rPr>
        <w:t xml:space="preserve">které nebrání </w:t>
      </w:r>
      <w:r w:rsidR="00D131D4" w:rsidRPr="00CF0C1C">
        <w:rPr>
          <w:rFonts w:cs="Times New Roman"/>
        </w:rPr>
        <w:t>dílo</w:t>
      </w:r>
      <w:r w:rsidR="00A74551" w:rsidRPr="00CF0C1C">
        <w:rPr>
          <w:rFonts w:cs="Times New Roman"/>
        </w:rPr>
        <w:t xml:space="preserve"> akceptovat</w:t>
      </w:r>
      <w:r w:rsidR="003F4B29" w:rsidRPr="00CF0C1C">
        <w:rPr>
          <w:rFonts w:cs="Times New Roman"/>
        </w:rPr>
        <w:t>,</w:t>
      </w:r>
      <w:r w:rsidR="00502231" w:rsidRPr="00CF0C1C">
        <w:rPr>
          <w:rFonts w:cs="Times New Roman"/>
        </w:rPr>
        <w:t xml:space="preserve"> se dílo považuje </w:t>
      </w:r>
      <w:r w:rsidR="009A4BB6" w:rsidRPr="00CF0C1C">
        <w:rPr>
          <w:rFonts w:cs="Times New Roman"/>
        </w:rPr>
        <w:t xml:space="preserve">za splněné a </w:t>
      </w:r>
      <w:r w:rsidR="00502231" w:rsidRPr="00CF0C1C">
        <w:rPr>
          <w:rFonts w:cs="Times New Roman"/>
        </w:rPr>
        <w:t>za </w:t>
      </w:r>
      <w:r w:rsidR="00090F66" w:rsidRPr="00CF0C1C">
        <w:rPr>
          <w:rFonts w:cs="Times New Roman"/>
        </w:rPr>
        <w:t>řádně</w:t>
      </w:r>
      <w:r w:rsidR="00877083" w:rsidRPr="00CF0C1C">
        <w:rPr>
          <w:rFonts w:cs="Times New Roman"/>
        </w:rPr>
        <w:t> </w:t>
      </w:r>
      <w:r w:rsidRPr="00CF0C1C">
        <w:rPr>
          <w:rFonts w:cs="Times New Roman"/>
        </w:rPr>
        <w:t>převzaté a zhotoviteli vzniká právo v souladu s čl. II této smlouvy na zaplacení</w:t>
      </w:r>
      <w:r w:rsidR="008A1F28" w:rsidRPr="00CF0C1C">
        <w:rPr>
          <w:rFonts w:cs="Times New Roman"/>
        </w:rPr>
        <w:t xml:space="preserve"> ceny</w:t>
      </w:r>
      <w:r w:rsidRPr="00CF0C1C">
        <w:rPr>
          <w:rFonts w:cs="Times New Roman"/>
        </w:rPr>
        <w:t>.</w:t>
      </w:r>
      <w:r w:rsidR="00A34771" w:rsidRPr="00CF0C1C">
        <w:rPr>
          <w:rFonts w:cs="Times New Roman"/>
        </w:rPr>
        <w:t xml:space="preserve"> </w:t>
      </w:r>
    </w:p>
    <w:p w14:paraId="61B71DBD" w14:textId="25C55261" w:rsidR="000C3E19" w:rsidRPr="006313DB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</w:t>
      </w:r>
      <w:r w:rsidR="007A3CEB" w:rsidRPr="006313DB">
        <w:t xml:space="preserve">jako součástem </w:t>
      </w:r>
      <w:r w:rsidRPr="006313DB">
        <w:t>díl</w:t>
      </w:r>
      <w:r w:rsidR="007A3CEB" w:rsidRPr="006313DB">
        <w:t>a</w:t>
      </w:r>
      <w:r w:rsidRPr="006313DB">
        <w:t xml:space="preserve"> přechází na objednatele okamžikem </w:t>
      </w:r>
      <w:r w:rsidR="00372DDF" w:rsidRPr="006313DB">
        <w:t>akceptac</w:t>
      </w:r>
      <w:r w:rsidR="00CA6E36" w:rsidRPr="006313DB">
        <w:t xml:space="preserve">e </w:t>
      </w:r>
      <w:r w:rsidR="00372DDF" w:rsidRPr="006313DB">
        <w:t>dokončeného díla</w:t>
      </w:r>
      <w:r w:rsidRPr="006313DB">
        <w:t>.</w:t>
      </w:r>
    </w:p>
    <w:p w14:paraId="207B0C2B" w14:textId="48FCD019" w:rsidR="00EF70E1" w:rsidRPr="006313DB" w:rsidRDefault="007F30BA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EF70E1" w:rsidRPr="006313DB">
        <w:rPr>
          <w:szCs w:val="22"/>
        </w:rPr>
        <w:t>. U</w:t>
      </w:r>
      <w:r w:rsidR="00CA3B91" w:rsidRPr="006313DB">
        <w:rPr>
          <w:szCs w:val="22"/>
        </w:rPr>
        <w:t>stanovení o poddoda</w:t>
      </w:r>
      <w:r w:rsidR="00EF70E1" w:rsidRPr="006313DB">
        <w:rPr>
          <w:szCs w:val="22"/>
        </w:rPr>
        <w:t>vatelích</w:t>
      </w:r>
    </w:p>
    <w:p w14:paraId="1B8D60A1" w14:textId="48A88D13" w:rsidR="00730826" w:rsidRPr="006313DB" w:rsidRDefault="00730826" w:rsidP="00C1020C">
      <w:pPr>
        <w:widowControl w:val="0"/>
        <w:spacing w:after="120" w:line="276" w:lineRule="auto"/>
        <w:jc w:val="both"/>
        <w:outlineLvl w:val="0"/>
        <w:rPr>
          <w:rFonts w:cs="Times New Roman"/>
        </w:rPr>
      </w:pPr>
      <w:r w:rsidRPr="006313DB">
        <w:rPr>
          <w:rFonts w:cs="Times New Roman"/>
        </w:rPr>
        <w:t xml:space="preserve">Zhotovitel se zavazuje </w:t>
      </w:r>
      <w:bookmarkStart w:id="6" w:name="_Hlk164326136"/>
      <w:r w:rsidRPr="006313DB">
        <w:rPr>
          <w:rFonts w:cs="Times New Roman"/>
        </w:rPr>
        <w:t>v souladu s podanou nabídkou</w:t>
      </w:r>
      <w:r w:rsidR="004B32A3" w:rsidRPr="006313DB">
        <w:rPr>
          <w:rFonts w:cs="Times New Roman"/>
        </w:rPr>
        <w:t xml:space="preserve"> na veřejnou zakázku „</w:t>
      </w:r>
      <w:r w:rsidR="00CF0C1C" w:rsidRPr="006313DB">
        <w:rPr>
          <w:rFonts w:cs="Times New Roman"/>
        </w:rPr>
        <w:t>Aktualizace modelu terénu v záplavovém území Vltavy a Berounky</w:t>
      </w:r>
      <w:r w:rsidR="004B32A3" w:rsidRPr="006313DB">
        <w:rPr>
          <w:rFonts w:cs="Times New Roman"/>
        </w:rPr>
        <w:t>“</w:t>
      </w:r>
      <w:r w:rsidRPr="006313DB">
        <w:rPr>
          <w:rFonts w:cs="Times New Roman"/>
        </w:rPr>
        <w:t xml:space="preserve"> zajišťovat </w:t>
      </w:r>
      <w:bookmarkEnd w:id="6"/>
      <w:r w:rsidRPr="006313DB">
        <w:rPr>
          <w:rFonts w:cs="Times New Roman"/>
        </w:rPr>
        <w:t>veškeré smluvní povinnosti sám, tj. bez účasti poddodavatelů.</w:t>
      </w: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7F30BA" w:rsidRPr="006313DB">
        <w:rPr>
          <w:szCs w:val="22"/>
        </w:rPr>
        <w:t>I</w:t>
      </w:r>
      <w:r w:rsidRPr="006313DB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7A901C1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CF0C1C">
        <w:rPr>
          <w:rFonts w:cs="Times New Roman"/>
        </w:rPr>
        <w:t>,</w:t>
      </w:r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CF0C1C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</w:t>
      </w:r>
      <w:r w:rsidRPr="00A15479">
        <w:rPr>
          <w:rFonts w:cs="Times New Roman"/>
        </w:rPr>
        <w:lastRenderedPageBreak/>
        <w:t>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84FD0E4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</w:t>
      </w:r>
      <w:r w:rsidRPr="00D634F9">
        <w:rPr>
          <w:rFonts w:cs="Times New Roman"/>
        </w:rPr>
        <w:t>pokutu ve výši 500</w:t>
      </w:r>
      <w:r w:rsidR="00D634F9" w:rsidRPr="00D634F9">
        <w:rPr>
          <w:rFonts w:cs="Times New Roman"/>
        </w:rPr>
        <w:t>,-</w:t>
      </w:r>
      <w:r w:rsidRPr="00D634F9">
        <w:rPr>
          <w:rFonts w:cs="Times New Roman"/>
        </w:rPr>
        <w:t xml:space="preserve"> Kč </w:t>
      </w:r>
      <w:r w:rsidR="00D634F9" w:rsidRPr="00D634F9">
        <w:rPr>
          <w:rFonts w:cs="Times New Roman"/>
        </w:rPr>
        <w:br/>
      </w:r>
      <w:r w:rsidRPr="00D634F9">
        <w:rPr>
          <w:rFonts w:cs="Times New Roman"/>
        </w:rPr>
        <w:t>za každý započatý den prodlení.</w:t>
      </w:r>
    </w:p>
    <w:p w14:paraId="4D4DC6F9" w14:textId="77777777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634F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22D31C4E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t xml:space="preserve">Za každé jednotlivé porušení povinnosti uvedené v čl. </w:t>
      </w:r>
      <w:r w:rsidR="00BF3B91" w:rsidRPr="00D634F9">
        <w:rPr>
          <w:rFonts w:cs="Times New Roman"/>
        </w:rPr>
        <w:t>VIII</w:t>
      </w:r>
      <w:r w:rsidRPr="00D634F9">
        <w:rPr>
          <w:rFonts w:cs="Times New Roman"/>
        </w:rPr>
        <w:t xml:space="preserve"> odst. 1, 3 nebo 5 této smlouvy je zhotovitel povinen zaplatit objednateli smluvní pokutu ve výši </w:t>
      </w:r>
      <w:r w:rsidR="00D634F9" w:rsidRPr="00D634F9">
        <w:rPr>
          <w:rFonts w:cs="Times New Roman"/>
        </w:rPr>
        <w:t>25</w:t>
      </w:r>
      <w:r w:rsidRPr="00D634F9">
        <w:rPr>
          <w:rFonts w:cs="Times New Roman"/>
        </w:rPr>
        <w:t xml:space="preserve">.000 Kč (slovy: </w:t>
      </w:r>
      <w:r w:rsidR="00D634F9" w:rsidRPr="00D634F9">
        <w:rPr>
          <w:rFonts w:cs="Times New Roman"/>
        </w:rPr>
        <w:t>dvacet pět</w:t>
      </w:r>
      <w:r w:rsidRPr="00D634F9">
        <w:rPr>
          <w:rFonts w:cs="Times New Roman"/>
        </w:rPr>
        <w:t xml:space="preserve"> tisíc korun českých).</w:t>
      </w:r>
    </w:p>
    <w:p w14:paraId="43CC444D" w14:textId="564C6521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  <w:iCs/>
        </w:rPr>
        <w:t xml:space="preserve">Za každé jednotlivé porušení povinností uvedených v čl. </w:t>
      </w:r>
      <w:r w:rsidR="00BF3B91" w:rsidRPr="00D634F9">
        <w:rPr>
          <w:rFonts w:cs="Times New Roman"/>
          <w:iCs/>
        </w:rPr>
        <w:t>I</w:t>
      </w:r>
      <w:r w:rsidRPr="00D634F9">
        <w:rPr>
          <w:rFonts w:cs="Times New Roman"/>
          <w:iCs/>
        </w:rPr>
        <w:t>X této smlouvy týkajících se ochrany důvěrných informací a obchodního tajemství, je zhotovitel povinen zaplatit objednateli smluvní pokutu ve výši</w:t>
      </w:r>
      <w:r w:rsidR="00D634F9" w:rsidRPr="00D634F9">
        <w:rPr>
          <w:rFonts w:cs="Times New Roman"/>
          <w:iCs/>
        </w:rPr>
        <w:t xml:space="preserve"> 25</w:t>
      </w:r>
      <w:r w:rsidRPr="00D634F9">
        <w:rPr>
          <w:rFonts w:cs="Times New Roman"/>
          <w:iCs/>
        </w:rPr>
        <w:t xml:space="preserve">.000 Kč </w:t>
      </w:r>
      <w:r w:rsidRPr="00D634F9">
        <w:rPr>
          <w:rFonts w:cs="Times New Roman"/>
        </w:rPr>
        <w:t xml:space="preserve">(slovy: </w:t>
      </w:r>
      <w:r w:rsidR="00D634F9" w:rsidRPr="00D634F9">
        <w:rPr>
          <w:rFonts w:cs="Times New Roman"/>
        </w:rPr>
        <w:t>25</w:t>
      </w:r>
      <w:r w:rsidRPr="00D634F9">
        <w:rPr>
          <w:rFonts w:cs="Times New Roman"/>
        </w:rPr>
        <w:t xml:space="preserve"> tisíc korun českých)</w:t>
      </w:r>
    </w:p>
    <w:p w14:paraId="395FF910" w14:textId="115BDC69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864DC2">
        <w:rPr>
          <w:rFonts w:cs="Times New Roman"/>
        </w:rPr>
        <w:t>500,- Kč</w:t>
      </w:r>
      <w:r w:rsidRPr="00D634F9">
        <w:rPr>
          <w:rFonts w:cs="Times New Roman"/>
        </w:rPr>
        <w:t xml:space="preserve">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1BAF9731" w:rsidR="001D54B4" w:rsidRPr="00A15479" w:rsidRDefault="001D54B4" w:rsidP="00D634F9">
      <w:pPr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7F0D902" w14:textId="6AFDF8E8" w:rsidR="006F12D4" w:rsidRPr="00D634F9" w:rsidRDefault="001D54B4" w:rsidP="00D634F9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D634F9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24F5C7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1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bookmarkEnd w:id="11"/>
      <w:r w:rsidR="00EE5BE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0B5D030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D634F9">
        <w:rPr>
          <w:rStyle w:val="Siln"/>
          <w:rFonts w:cs="Times New Roman"/>
          <w:b w:val="0"/>
          <w:shd w:val="clear" w:color="auto" w:fill="FFFFFF"/>
        </w:rPr>
        <w:t xml:space="preserve">)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721AAA1A" w:rsidR="00F74C17" w:rsidRPr="00AE663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</w:t>
      </w:r>
      <w:r w:rsidRPr="00AE6635">
        <w:rPr>
          <w:rFonts w:cs="Times New Roman"/>
        </w:rPr>
        <w:t xml:space="preserve">straně objednatele je </w:t>
      </w:r>
      <w:r w:rsidR="0024294D">
        <w:rPr>
          <w:rFonts w:cs="Times New Roman"/>
        </w:rPr>
        <w:t>xxx</w:t>
      </w:r>
      <w:r w:rsidRPr="00AE6635">
        <w:rPr>
          <w:rFonts w:cs="Times New Roman"/>
        </w:rPr>
        <w:t>, tel.</w:t>
      </w:r>
      <w:r w:rsidR="009157C6" w:rsidRPr="00AE6635">
        <w:rPr>
          <w:rFonts w:cs="Times New Roman"/>
        </w:rPr>
        <w:t>:</w:t>
      </w:r>
      <w:r w:rsidR="00F436D1">
        <w:rPr>
          <w:rFonts w:cs="Times New Roman"/>
        </w:rPr>
        <w:t xml:space="preserve"> </w:t>
      </w:r>
      <w:r w:rsidR="0024294D">
        <w:rPr>
          <w:rFonts w:cs="Times New Roman"/>
        </w:rPr>
        <w:t>xxx</w:t>
      </w:r>
      <w:r w:rsidRPr="00AE6635">
        <w:rPr>
          <w:rFonts w:cs="Times New Roman"/>
        </w:rPr>
        <w:t>, e</w:t>
      </w:r>
      <w:r w:rsidR="009157C6" w:rsidRPr="00AE6635">
        <w:rPr>
          <w:rFonts w:cs="Times New Roman"/>
        </w:rPr>
        <w:noBreakHyphen/>
      </w:r>
      <w:r w:rsidRPr="00AE6635">
        <w:rPr>
          <w:rFonts w:cs="Times New Roman"/>
        </w:rPr>
        <w:t>mail:</w:t>
      </w:r>
      <w:r w:rsidR="009157C6" w:rsidRPr="00AE6635">
        <w:rPr>
          <w:rFonts w:cs="Times New Roman"/>
        </w:rPr>
        <w:t> </w:t>
      </w:r>
      <w:hyperlink r:id="rId13" w:history="1">
        <w:r w:rsidR="0024294D">
          <w:rPr>
            <w:rStyle w:val="Hypertextovodkaz"/>
          </w:rPr>
          <w:t>xxx</w:t>
        </w:r>
      </w:hyperlink>
      <w:r w:rsidR="00AE6635" w:rsidRPr="00AE6635">
        <w:t>.</w:t>
      </w:r>
    </w:p>
    <w:p w14:paraId="63CC12DA" w14:textId="19C6836C" w:rsidR="00F74C17" w:rsidRPr="00AE6635" w:rsidRDefault="00F74C17" w:rsidP="00A82EAE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E6635">
        <w:rPr>
          <w:rFonts w:cs="Times New Roman"/>
        </w:rPr>
        <w:t xml:space="preserve">Kontaktní osobou na straně zhotovitele je </w:t>
      </w:r>
      <w:r w:rsidR="0024294D">
        <w:rPr>
          <w:rFonts w:cs="Times New Roman"/>
        </w:rPr>
        <w:t>xxx</w:t>
      </w:r>
      <w:r w:rsidRPr="00AE6635">
        <w:rPr>
          <w:rFonts w:cs="Times New Roman"/>
        </w:rPr>
        <w:t>, tel.</w:t>
      </w:r>
      <w:r w:rsidR="009157C6" w:rsidRPr="00AE6635">
        <w:rPr>
          <w:rFonts w:cs="Times New Roman"/>
        </w:rPr>
        <w:t>:</w:t>
      </w:r>
      <w:r w:rsidR="00F436D1">
        <w:rPr>
          <w:rFonts w:cs="Times New Roman"/>
        </w:rPr>
        <w:t xml:space="preserve"> </w:t>
      </w:r>
      <w:r w:rsidR="0024294D">
        <w:rPr>
          <w:rFonts w:cs="Times New Roman"/>
        </w:rPr>
        <w:t>xxx</w:t>
      </w:r>
      <w:r w:rsidRPr="00AE6635">
        <w:rPr>
          <w:rFonts w:cs="Times New Roman"/>
        </w:rPr>
        <w:t>, e</w:t>
      </w:r>
      <w:r w:rsidR="009157C6" w:rsidRPr="00AE6635">
        <w:rPr>
          <w:rFonts w:cs="Times New Roman"/>
        </w:rPr>
        <w:noBreakHyphen/>
      </w:r>
      <w:r w:rsidRPr="00AE6635">
        <w:rPr>
          <w:rFonts w:cs="Times New Roman"/>
        </w:rPr>
        <w:t>mail:</w:t>
      </w:r>
      <w:r w:rsidR="009157C6" w:rsidRPr="00AE6635">
        <w:rPr>
          <w:rFonts w:cs="Times New Roman"/>
        </w:rPr>
        <w:t> </w:t>
      </w:r>
      <w:hyperlink r:id="rId14" w:history="1">
        <w:r w:rsidR="0024294D">
          <w:rPr>
            <w:rStyle w:val="Hypertextovodkaz"/>
            <w:rFonts w:cs="Times New Roman"/>
          </w:rPr>
          <w:t>xxx</w:t>
        </w:r>
      </w:hyperlink>
      <w:r w:rsidR="009157C6" w:rsidRPr="00F436D1">
        <w:rPr>
          <w:rFonts w:cs="Times New Roman"/>
        </w:rPr>
        <w:t>.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1BAD025" w14:textId="02DAF540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2" w:name="_Hlk168064881"/>
      <w:bookmarkStart w:id="13" w:name="_Hlk145937672"/>
      <w:r w:rsidRPr="00A15479">
        <w:rPr>
          <w:szCs w:val="22"/>
        </w:rPr>
        <w:t>XI</w:t>
      </w:r>
      <w:r w:rsidR="00C86025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12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16D6B75B" w14:textId="3AC4498C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4644D462" w14:textId="63A56CCE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 xml:space="preserve">nimi spojeným nebo v jejich prospěch uvedeným v sankčním seznamu v příloze nařízení Rady (EU) </w:t>
      </w:r>
      <w:r w:rsidR="002C0BFC" w:rsidRPr="00AE6635">
        <w:rPr>
          <w:rFonts w:cs="Times New Roman"/>
          <w:color w:val="auto"/>
          <w:sz w:val="22"/>
        </w:rPr>
        <w:lastRenderedPageBreak/>
        <w:t>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2A4AAB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stal určenou osobou, je povinen o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v souvislosti s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porušením této</w:t>
      </w:r>
      <w:r w:rsidR="0048274C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povinnosti jakákoliv škoda, je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tuto škodu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povinen v plné výši nahradit. Současně je vznik této skutečnosti důvodem pro odstoupení</w:t>
      </w:r>
      <w:r w:rsidRPr="00A15479">
        <w:rPr>
          <w:rFonts w:cs="Times New Roman"/>
          <w:color w:val="auto"/>
          <w:sz w:val="22"/>
        </w:rPr>
        <w:t xml:space="preserve">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3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74E5957" w14:textId="24FF4163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4" w:name="_Hlk168064941"/>
      <w:r w:rsidRPr="00A15479">
        <w:rPr>
          <w:szCs w:val="22"/>
        </w:rPr>
        <w:t>X</w:t>
      </w:r>
      <w:r w:rsidR="00C86025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4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64327019"/>
      <w:r w:rsidRPr="00633296">
        <w:t xml:space="preserve">Smluvní </w:t>
      </w:r>
      <w:bookmarkStart w:id="17" w:name="_Hlk168065262"/>
      <w:r w:rsidRPr="00633296">
        <w:t>strany</w:t>
      </w:r>
      <w:bookmarkStart w:id="18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7"/>
      <w:r w:rsidR="002F29B7" w:rsidRPr="00633296">
        <w:rPr>
          <w:rFonts w:cs="Times New Roman"/>
        </w:rPr>
        <w:t>stranám.</w:t>
      </w:r>
      <w:bookmarkEnd w:id="18"/>
    </w:p>
    <w:bookmarkEnd w:id="1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9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0538E65A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193423">
        <w:rPr>
          <w:rFonts w:cs="Times New Roman"/>
        </w:rPr>
        <w:br/>
      </w:r>
      <w:r w:rsidRPr="00A15479">
        <w:rPr>
          <w:rFonts w:cs="Times New Roman"/>
        </w:rPr>
        <w:t xml:space="preserve">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20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13316B3C" w:rsidR="001D54B4" w:rsidRPr="007343BA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7343BA">
        <w:rPr>
          <w:rFonts w:cs="Times New Roman"/>
          <w:u w:val="single"/>
        </w:rPr>
        <w:t>Příloh</w:t>
      </w:r>
      <w:r w:rsidR="006C1EDF" w:rsidRPr="007343BA">
        <w:rPr>
          <w:rFonts w:cs="Times New Roman"/>
          <w:u w:val="single"/>
        </w:rPr>
        <w:t>a</w:t>
      </w:r>
      <w:r w:rsidRPr="007343BA">
        <w:rPr>
          <w:rFonts w:cs="Times New Roman"/>
          <w:u w:val="single"/>
        </w:rPr>
        <w:t>:</w:t>
      </w:r>
    </w:p>
    <w:p w14:paraId="5BE5437A" w14:textId="77777777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7343BA">
        <w:rPr>
          <w:rFonts w:cs="Times New Roman"/>
        </w:rPr>
        <w:t>č. 1 –</w:t>
      </w:r>
      <w:r w:rsidRPr="007343BA">
        <w:rPr>
          <w:rFonts w:cs="Times New Roman"/>
          <w:i/>
        </w:rPr>
        <w:t xml:space="preserve"> </w:t>
      </w:r>
      <w:r w:rsidR="003C7CA5" w:rsidRPr="007343BA">
        <w:rPr>
          <w:rFonts w:cs="Times New Roman"/>
        </w:rPr>
        <w:t>Specifikace předmětu smlouvy</w:t>
      </w:r>
    </w:p>
    <w:p w14:paraId="775EB7DB" w14:textId="451FA96F" w:rsidR="007343BA" w:rsidRPr="00A15479" w:rsidRDefault="007343BA" w:rsidP="00F85CAB">
      <w:pPr>
        <w:spacing w:after="120" w:line="276" w:lineRule="auto"/>
        <w:ind w:hanging="284"/>
        <w:rPr>
          <w:rFonts w:cs="Times New Roman"/>
          <w:i/>
        </w:rPr>
      </w:pPr>
      <w:r>
        <w:rPr>
          <w:rFonts w:cs="Times New Roman"/>
        </w:rPr>
        <w:t xml:space="preserve">č. 2 </w:t>
      </w:r>
      <w:r w:rsidRPr="007343BA">
        <w:rPr>
          <w:rFonts w:cs="Times New Roman"/>
        </w:rPr>
        <w:t>–</w:t>
      </w:r>
      <w:r>
        <w:rPr>
          <w:rFonts w:cs="Times New Roman"/>
        </w:rPr>
        <w:t xml:space="preserve"> Plná moc pro zastupování TopGis s.r.o.</w:t>
      </w:r>
      <w:r w:rsidR="00193423">
        <w:rPr>
          <w:rFonts w:cs="Times New Roman"/>
        </w:rPr>
        <w:t xml:space="preserve"> ze dne 9.4.2025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1EABFBFC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7343BA">
        <w:rPr>
          <w:rFonts w:cs="Times New Roman"/>
        </w:rPr>
        <w:t>Brně</w:t>
      </w:r>
      <w:r w:rsidR="00DC25B2" w:rsidRPr="00A15479">
        <w:rPr>
          <w:rFonts w:cs="Times New Roman"/>
        </w:rPr>
        <w:t xml:space="preserve"> 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8A72A4" w:rsidRDefault="001D54B4" w:rsidP="0007550F">
      <w:pPr>
        <w:spacing w:after="120" w:line="276" w:lineRule="auto"/>
        <w:ind w:hanging="284"/>
        <w:rPr>
          <w:rFonts w:cs="Times New Roman"/>
        </w:rPr>
      </w:pPr>
      <w:r w:rsidRPr="008A72A4">
        <w:rPr>
          <w:rFonts w:cs="Times New Roman"/>
        </w:rPr>
        <w:t>………………………………..</w:t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="003B6E46" w:rsidRPr="008A72A4">
        <w:rPr>
          <w:rFonts w:cs="Times New Roman"/>
        </w:rPr>
        <w:tab/>
      </w:r>
      <w:r w:rsidRPr="008A72A4">
        <w:rPr>
          <w:rFonts w:cs="Times New Roman"/>
        </w:rPr>
        <w:t>………………………………………….</w:t>
      </w:r>
    </w:p>
    <w:p w14:paraId="091C23A7" w14:textId="01150DB5" w:rsidR="00512330" w:rsidRPr="008A72A4" w:rsidRDefault="00512330" w:rsidP="00D04B16">
      <w:pPr>
        <w:spacing w:line="276" w:lineRule="auto"/>
        <w:ind w:hanging="284"/>
        <w:rPr>
          <w:rFonts w:cs="Times New Roman"/>
          <w:b/>
        </w:rPr>
      </w:pPr>
      <w:r w:rsidRPr="008A72A4">
        <w:rPr>
          <w:rFonts w:cs="Times New Roman"/>
          <w:b/>
        </w:rPr>
        <w:t xml:space="preserve">Mgr. </w:t>
      </w:r>
      <w:r w:rsidR="008A72A4" w:rsidRPr="008A72A4">
        <w:rPr>
          <w:rFonts w:cs="Times New Roman"/>
          <w:b/>
        </w:rPr>
        <w:t>Jiří Čtyroký</w:t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="007343BA">
        <w:rPr>
          <w:rFonts w:cs="Times New Roman"/>
        </w:rPr>
        <w:tab/>
      </w:r>
      <w:r w:rsidR="007343BA" w:rsidRPr="00F436D1">
        <w:rPr>
          <w:rFonts w:cs="Times New Roman"/>
          <w:b/>
          <w:bCs/>
        </w:rPr>
        <w:t>Drahomíra Zedníčková</w:t>
      </w:r>
    </w:p>
    <w:p w14:paraId="1790695B" w14:textId="78C44885" w:rsidR="00512330" w:rsidRPr="00A15479" w:rsidRDefault="008A72A4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prostorových informací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7343BA">
        <w:rPr>
          <w:rFonts w:cs="Times New Roman"/>
        </w:rPr>
        <w:t>výkonná ředitelka</w:t>
      </w:r>
    </w:p>
    <w:p w14:paraId="1A267791" w14:textId="34C219E1" w:rsidR="00512330" w:rsidRPr="00A15479" w:rsidRDefault="00512330" w:rsidP="00D04B16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7343BA">
        <w:rPr>
          <w:rFonts w:cs="Times New Roman"/>
        </w:rPr>
        <w:t>TopGis s.r.o.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E31B" w14:textId="77777777" w:rsidR="002B75E1" w:rsidRDefault="002B75E1">
      <w:r>
        <w:separator/>
      </w:r>
    </w:p>
  </w:endnote>
  <w:endnote w:type="continuationSeparator" w:id="0">
    <w:p w14:paraId="01BE7F89" w14:textId="77777777" w:rsidR="002B75E1" w:rsidRDefault="002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8A2B" w14:textId="77777777" w:rsidR="002B75E1" w:rsidRDefault="002B75E1">
      <w:r>
        <w:separator/>
      </w:r>
    </w:p>
  </w:footnote>
  <w:footnote w:type="continuationSeparator" w:id="0">
    <w:p w14:paraId="2686357A" w14:textId="77777777" w:rsidR="002B75E1" w:rsidRDefault="002B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49B4C1B" w:rsidR="00A94B18" w:rsidRPr="00267AC5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267AC5">
      <w:rPr>
        <w:sz w:val="22"/>
      </w:rPr>
      <w:t>objednatele: ZAK</w:t>
    </w:r>
    <w:r w:rsidR="00512330" w:rsidRPr="00267AC5">
      <w:rPr>
        <w:sz w:val="22"/>
      </w:rPr>
      <w:t xml:space="preserve"> </w:t>
    </w:r>
    <w:r w:rsidR="00267AC5" w:rsidRPr="00267AC5">
      <w:rPr>
        <w:sz w:val="22"/>
      </w:rPr>
      <w:t>25-0105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267AC5">
      <w:t>č. smlouvy zhotovitele</w:t>
    </w:r>
    <w:r w:rsidR="00D81B70" w:rsidRPr="00267AC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0"/>
  </w:num>
  <w:num w:numId="4" w16cid:durableId="376010881">
    <w:abstractNumId w:val="37"/>
  </w:num>
  <w:num w:numId="5" w16cid:durableId="1861551579">
    <w:abstractNumId w:val="28"/>
  </w:num>
  <w:num w:numId="6" w16cid:durableId="1653487848">
    <w:abstractNumId w:val="40"/>
  </w:num>
  <w:num w:numId="7" w16cid:durableId="484007419">
    <w:abstractNumId w:val="29"/>
  </w:num>
  <w:num w:numId="8" w16cid:durableId="1547375222">
    <w:abstractNumId w:val="21"/>
  </w:num>
  <w:num w:numId="9" w16cid:durableId="1594122283">
    <w:abstractNumId w:val="38"/>
  </w:num>
  <w:num w:numId="10" w16cid:durableId="836850926">
    <w:abstractNumId w:val="33"/>
  </w:num>
  <w:num w:numId="11" w16cid:durableId="2033023509">
    <w:abstractNumId w:val="20"/>
  </w:num>
  <w:num w:numId="12" w16cid:durableId="1308823796">
    <w:abstractNumId w:val="25"/>
  </w:num>
  <w:num w:numId="13" w16cid:durableId="1760520076">
    <w:abstractNumId w:val="32"/>
  </w:num>
  <w:num w:numId="14" w16cid:durableId="1451777038">
    <w:abstractNumId w:val="24"/>
  </w:num>
  <w:num w:numId="15" w16cid:durableId="1539782915">
    <w:abstractNumId w:val="23"/>
  </w:num>
  <w:num w:numId="16" w16cid:durableId="702285867">
    <w:abstractNumId w:val="39"/>
  </w:num>
  <w:num w:numId="17" w16cid:durableId="2097549690">
    <w:abstractNumId w:val="41"/>
  </w:num>
  <w:num w:numId="18" w16cid:durableId="1417021477">
    <w:abstractNumId w:val="36"/>
  </w:num>
  <w:num w:numId="19" w16cid:durableId="1817917578">
    <w:abstractNumId w:val="31"/>
  </w:num>
  <w:num w:numId="20" w16cid:durableId="1828547397">
    <w:abstractNumId w:val="34"/>
  </w:num>
  <w:num w:numId="21" w16cid:durableId="1428967385">
    <w:abstractNumId w:val="26"/>
  </w:num>
  <w:num w:numId="22" w16cid:durableId="86923868">
    <w:abstractNumId w:val="22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5"/>
  </w:num>
  <w:num w:numId="26" w16cid:durableId="10944001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93423"/>
    <w:rsid w:val="001A4B2B"/>
    <w:rsid w:val="001A6322"/>
    <w:rsid w:val="001A63F1"/>
    <w:rsid w:val="001B6139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294D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67AC5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0EE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3DB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43BA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069A0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4DC2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A72A4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397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63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4801"/>
    <w:rsid w:val="00BF665B"/>
    <w:rsid w:val="00BF70ED"/>
    <w:rsid w:val="00C02878"/>
    <w:rsid w:val="00C1020C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6025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0C1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04DF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34F9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14B"/>
    <w:rsid w:val="00E90474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36D1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1385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E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@ipr.prah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zednickova@topg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4545</Words>
  <Characters>26818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16</cp:revision>
  <cp:lastPrinted>2025-05-06T13:13:00Z</cp:lastPrinted>
  <dcterms:created xsi:type="dcterms:W3CDTF">2025-04-30T12:51:00Z</dcterms:created>
  <dcterms:modified xsi:type="dcterms:W3CDTF">2025-05-13T13:18:00Z</dcterms:modified>
</cp:coreProperties>
</file>