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EF" w:rsidRDefault="00672540">
      <w:pPr>
        <w:pStyle w:val="Zkladn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5568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</wp:posOffset>
            </wp:positionV>
            <wp:extent cx="7555991" cy="106913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2EF" w:rsidRDefault="008642EF">
      <w:pPr>
        <w:pStyle w:val="Zkladntext"/>
        <w:rPr>
          <w:rFonts w:ascii="Times New Roman"/>
          <w:sz w:val="20"/>
        </w:rPr>
      </w:pPr>
    </w:p>
    <w:p w:rsidR="008642EF" w:rsidRDefault="008642EF">
      <w:pPr>
        <w:pStyle w:val="Zkladntext"/>
        <w:rPr>
          <w:rFonts w:ascii="Times New Roman"/>
          <w:sz w:val="20"/>
        </w:rPr>
      </w:pPr>
    </w:p>
    <w:p w:rsidR="008642EF" w:rsidRDefault="008642EF">
      <w:pPr>
        <w:pStyle w:val="Zkladntext"/>
        <w:rPr>
          <w:rFonts w:ascii="Times New Roman"/>
          <w:sz w:val="20"/>
        </w:rPr>
      </w:pPr>
    </w:p>
    <w:p w:rsidR="008642EF" w:rsidRDefault="008642EF">
      <w:pPr>
        <w:pStyle w:val="Zkladntext"/>
        <w:rPr>
          <w:rFonts w:ascii="Times New Roman"/>
          <w:sz w:val="20"/>
        </w:rPr>
      </w:pPr>
    </w:p>
    <w:p w:rsidR="008642EF" w:rsidRDefault="008642EF">
      <w:pPr>
        <w:pStyle w:val="Zkladntext"/>
        <w:rPr>
          <w:rFonts w:ascii="Times New Roman"/>
          <w:sz w:val="20"/>
        </w:rPr>
      </w:pPr>
    </w:p>
    <w:p w:rsidR="008642EF" w:rsidRPr="00672540" w:rsidRDefault="00672540">
      <w:pPr>
        <w:pStyle w:val="Nadpis1"/>
        <w:spacing w:before="245"/>
        <w:ind w:left="1925" w:right="1933"/>
        <w:rPr>
          <w:lang w:val="cs-CZ"/>
        </w:rPr>
      </w:pPr>
      <w:r w:rsidRPr="00672540">
        <w:rPr>
          <w:w w:val="125"/>
          <w:lang w:val="cs-CZ"/>
        </w:rPr>
        <w:t>Dodatek č. 2 ke smlouvě o dílo</w:t>
      </w:r>
    </w:p>
    <w:p w:rsidR="008642EF" w:rsidRPr="00672540" w:rsidRDefault="00672540">
      <w:pPr>
        <w:spacing w:before="182"/>
        <w:ind w:right="7"/>
        <w:jc w:val="center"/>
        <w:rPr>
          <w:b/>
          <w:sz w:val="24"/>
          <w:lang w:val="cs-CZ"/>
        </w:rPr>
      </w:pPr>
      <w:r w:rsidRPr="00672540">
        <w:rPr>
          <w:b/>
          <w:w w:val="126"/>
          <w:sz w:val="24"/>
          <w:lang w:val="cs-CZ"/>
        </w:rPr>
        <w:t>-</w:t>
      </w:r>
    </w:p>
    <w:p w:rsidR="008642EF" w:rsidRPr="00672540" w:rsidRDefault="00672540">
      <w:pPr>
        <w:spacing w:before="182"/>
        <w:ind w:left="1926" w:right="1932"/>
        <w:jc w:val="center"/>
        <w:rPr>
          <w:b/>
          <w:sz w:val="24"/>
          <w:lang w:val="cs-CZ"/>
        </w:rPr>
      </w:pPr>
      <w:r w:rsidRPr="00672540">
        <w:rPr>
          <w:b/>
          <w:w w:val="120"/>
          <w:sz w:val="24"/>
          <w:lang w:val="cs-CZ"/>
        </w:rPr>
        <w:t>Příloha č.2</w:t>
      </w:r>
    </w:p>
    <w:p w:rsidR="008642EF" w:rsidRPr="00672540" w:rsidRDefault="008642EF">
      <w:pPr>
        <w:pStyle w:val="Zkladntext"/>
        <w:rPr>
          <w:b/>
          <w:sz w:val="28"/>
          <w:lang w:val="cs-CZ"/>
        </w:rPr>
      </w:pPr>
    </w:p>
    <w:p w:rsidR="008642EF" w:rsidRPr="00672540" w:rsidRDefault="008642EF">
      <w:pPr>
        <w:pStyle w:val="Zkladntext"/>
        <w:rPr>
          <w:b/>
          <w:sz w:val="28"/>
          <w:lang w:val="cs-CZ"/>
        </w:rPr>
      </w:pPr>
    </w:p>
    <w:p w:rsidR="008642EF" w:rsidRPr="00672540" w:rsidRDefault="008642EF">
      <w:pPr>
        <w:pStyle w:val="Zkladntext"/>
        <w:rPr>
          <w:b/>
          <w:sz w:val="28"/>
          <w:lang w:val="cs-CZ"/>
        </w:rPr>
      </w:pPr>
    </w:p>
    <w:p w:rsidR="008642EF" w:rsidRPr="00672540" w:rsidRDefault="008642EF">
      <w:pPr>
        <w:pStyle w:val="Zkladntext"/>
        <w:rPr>
          <w:b/>
          <w:sz w:val="28"/>
          <w:lang w:val="cs-CZ"/>
        </w:rPr>
      </w:pPr>
    </w:p>
    <w:p w:rsidR="008642EF" w:rsidRPr="00672540" w:rsidRDefault="008642EF">
      <w:pPr>
        <w:pStyle w:val="Zkladntext"/>
        <w:rPr>
          <w:b/>
          <w:sz w:val="28"/>
          <w:lang w:val="cs-CZ"/>
        </w:rPr>
      </w:pPr>
    </w:p>
    <w:p w:rsidR="008642EF" w:rsidRPr="00672540" w:rsidRDefault="00672540">
      <w:pPr>
        <w:spacing w:before="235"/>
        <w:ind w:left="1926" w:right="1933"/>
        <w:jc w:val="center"/>
        <w:rPr>
          <w:b/>
          <w:sz w:val="48"/>
          <w:lang w:val="cs-CZ"/>
        </w:rPr>
      </w:pPr>
      <w:r w:rsidRPr="00672540">
        <w:rPr>
          <w:b/>
          <w:w w:val="130"/>
          <w:sz w:val="48"/>
          <w:lang w:val="cs-CZ"/>
        </w:rPr>
        <w:t>DŮVODOVÁ ZPRÁVA TDS</w:t>
      </w:r>
    </w:p>
    <w:p w:rsidR="008642EF" w:rsidRPr="00672540" w:rsidRDefault="008642EF">
      <w:pPr>
        <w:pStyle w:val="Zkladntext"/>
        <w:rPr>
          <w:b/>
          <w:sz w:val="58"/>
          <w:lang w:val="cs-CZ"/>
        </w:rPr>
      </w:pPr>
    </w:p>
    <w:p w:rsidR="008642EF" w:rsidRPr="00672540" w:rsidRDefault="008642EF">
      <w:pPr>
        <w:pStyle w:val="Zkladntext"/>
        <w:spacing w:before="11"/>
        <w:rPr>
          <w:b/>
          <w:sz w:val="62"/>
          <w:lang w:val="cs-CZ"/>
        </w:rPr>
      </w:pPr>
    </w:p>
    <w:p w:rsidR="008642EF" w:rsidRPr="00672540" w:rsidRDefault="00672540">
      <w:pPr>
        <w:pStyle w:val="Nadpis1"/>
        <w:spacing w:before="0" w:line="259" w:lineRule="auto"/>
        <w:ind w:left="1160" w:right="743" w:hanging="1"/>
        <w:rPr>
          <w:lang w:val="cs-CZ"/>
        </w:rPr>
      </w:pPr>
      <w:r w:rsidRPr="00672540">
        <w:rPr>
          <w:w w:val="120"/>
          <w:lang w:val="cs-CZ"/>
        </w:rPr>
        <w:t xml:space="preserve">Nástavba a stavební úpravy stávajícího RD za účelem využití jako bytový dům; Zvíkovec 5, 338 08 Zbiroh, </w:t>
      </w:r>
      <w:proofErr w:type="spellStart"/>
      <w:r w:rsidRPr="00672540">
        <w:rPr>
          <w:w w:val="120"/>
          <w:lang w:val="cs-CZ"/>
        </w:rPr>
        <w:t>parc</w:t>
      </w:r>
      <w:proofErr w:type="spellEnd"/>
      <w:r w:rsidRPr="00672540">
        <w:rPr>
          <w:w w:val="120"/>
          <w:lang w:val="cs-CZ"/>
        </w:rPr>
        <w:t xml:space="preserve">. č. st. 77 a </w:t>
      </w:r>
      <w:proofErr w:type="spellStart"/>
      <w:r w:rsidRPr="00672540">
        <w:rPr>
          <w:w w:val="120"/>
          <w:lang w:val="cs-CZ"/>
        </w:rPr>
        <w:t>parc</w:t>
      </w:r>
      <w:proofErr w:type="spellEnd"/>
      <w:r w:rsidRPr="00672540">
        <w:rPr>
          <w:w w:val="120"/>
          <w:lang w:val="cs-CZ"/>
        </w:rPr>
        <w:t xml:space="preserve">. č. 93/1 a 93/2, </w:t>
      </w:r>
      <w:proofErr w:type="spellStart"/>
      <w:r w:rsidRPr="00672540">
        <w:rPr>
          <w:w w:val="120"/>
          <w:lang w:val="cs-CZ"/>
        </w:rPr>
        <w:t>k.ú</w:t>
      </w:r>
      <w:proofErr w:type="spellEnd"/>
      <w:r w:rsidRPr="00672540">
        <w:rPr>
          <w:w w:val="120"/>
          <w:lang w:val="cs-CZ"/>
        </w:rPr>
        <w:t>. Zvíkovec</w:t>
      </w:r>
    </w:p>
    <w:p w:rsidR="008642EF" w:rsidRPr="00672540" w:rsidRDefault="008642EF">
      <w:pPr>
        <w:spacing w:line="259" w:lineRule="auto"/>
        <w:rPr>
          <w:lang w:val="cs-CZ"/>
        </w:rPr>
        <w:sectPr w:rsidR="008642EF" w:rsidRPr="00672540">
          <w:type w:val="continuous"/>
          <w:pgSz w:w="11900" w:h="16840"/>
          <w:pgMar w:top="1600" w:right="720" w:bottom="280" w:left="740" w:header="708" w:footer="708" w:gutter="0"/>
          <w:cols w:space="708"/>
        </w:sectPr>
      </w:pPr>
    </w:p>
    <w:p w:rsidR="008642EF" w:rsidRPr="00672540" w:rsidRDefault="00672540">
      <w:pPr>
        <w:pStyle w:val="Zkladntext"/>
        <w:rPr>
          <w:b/>
          <w:sz w:val="20"/>
          <w:lang w:val="cs-CZ"/>
        </w:rPr>
      </w:pPr>
      <w:r w:rsidRPr="00672540">
        <w:rPr>
          <w:noProof/>
          <w:lang w:val="cs-CZ"/>
        </w:rPr>
        <w:lastRenderedPageBreak/>
        <w:drawing>
          <wp:anchor distT="0" distB="0" distL="0" distR="0" simplePos="0" relativeHeight="2515578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</wp:posOffset>
            </wp:positionV>
            <wp:extent cx="7555991" cy="1069135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2EF" w:rsidRPr="00672540" w:rsidRDefault="008642EF">
      <w:pPr>
        <w:pStyle w:val="Zkladntext"/>
        <w:spacing w:before="7"/>
        <w:rPr>
          <w:b/>
          <w:sz w:val="26"/>
          <w:lang w:val="cs-CZ"/>
        </w:rPr>
      </w:pPr>
    </w:p>
    <w:p w:rsidR="008642EF" w:rsidRPr="00672540" w:rsidRDefault="00672540">
      <w:pPr>
        <w:pStyle w:val="Odstavecseseznamem"/>
        <w:numPr>
          <w:ilvl w:val="0"/>
          <w:numId w:val="1"/>
        </w:numPr>
        <w:tabs>
          <w:tab w:val="left" w:pos="471"/>
          <w:tab w:val="left" w:pos="472"/>
        </w:tabs>
        <w:spacing w:before="103"/>
        <w:rPr>
          <w:sz w:val="18"/>
          <w:lang w:val="cs-CZ"/>
        </w:rPr>
      </w:pPr>
      <w:r w:rsidRPr="00672540">
        <w:rPr>
          <w:w w:val="130"/>
          <w:sz w:val="18"/>
          <w:lang w:val="cs-CZ"/>
        </w:rPr>
        <w:t>Popis provedené</w:t>
      </w:r>
      <w:r w:rsidRPr="00672540">
        <w:rPr>
          <w:spacing w:val="-5"/>
          <w:w w:val="130"/>
          <w:sz w:val="18"/>
          <w:lang w:val="cs-CZ"/>
        </w:rPr>
        <w:t xml:space="preserve"> </w:t>
      </w:r>
      <w:r w:rsidRPr="00672540">
        <w:rPr>
          <w:w w:val="130"/>
          <w:sz w:val="18"/>
          <w:lang w:val="cs-CZ"/>
        </w:rPr>
        <w:t>změny</w:t>
      </w:r>
    </w:p>
    <w:p w:rsidR="008642EF" w:rsidRPr="00672540" w:rsidRDefault="00672540">
      <w:pPr>
        <w:pStyle w:val="Odstavecseseznamem"/>
        <w:numPr>
          <w:ilvl w:val="1"/>
          <w:numId w:val="1"/>
        </w:numPr>
        <w:tabs>
          <w:tab w:val="left" w:pos="903"/>
          <w:tab w:val="left" w:pos="904"/>
        </w:tabs>
        <w:spacing w:before="18"/>
        <w:rPr>
          <w:sz w:val="18"/>
          <w:lang w:val="cs-CZ"/>
        </w:rPr>
      </w:pPr>
      <w:r w:rsidRPr="00672540">
        <w:rPr>
          <w:w w:val="115"/>
          <w:sz w:val="18"/>
          <w:lang w:val="cs-CZ"/>
        </w:rPr>
        <w:t>Změnový list</w:t>
      </w:r>
      <w:r w:rsidRPr="00672540">
        <w:rPr>
          <w:spacing w:val="-1"/>
          <w:w w:val="115"/>
          <w:sz w:val="18"/>
          <w:lang w:val="cs-CZ"/>
        </w:rPr>
        <w:t xml:space="preserve"> </w:t>
      </w:r>
      <w:r w:rsidRPr="00672540">
        <w:rPr>
          <w:w w:val="115"/>
          <w:sz w:val="18"/>
          <w:lang w:val="cs-CZ"/>
        </w:rPr>
        <w:t>č.3</w:t>
      </w:r>
    </w:p>
    <w:p w:rsidR="008642EF" w:rsidRPr="00672540" w:rsidRDefault="00672540">
      <w:pPr>
        <w:pStyle w:val="Zkladntext"/>
        <w:spacing w:before="174"/>
        <w:ind w:left="111" w:right="285" w:firstLine="708"/>
        <w:rPr>
          <w:lang w:val="cs-CZ"/>
        </w:rPr>
      </w:pPr>
      <w:r w:rsidRPr="00672540">
        <w:rPr>
          <w:w w:val="120"/>
          <w:lang w:val="cs-CZ"/>
        </w:rPr>
        <w:t xml:space="preserve">Během realizace došlo k navýšení nákladů stavby v důsledku chybně zpracovaného zadávacího rozpočtu, který neobsahoval projektem navržené ocelové nosníky v rámci stropní konstrukce </w:t>
      </w:r>
      <w:r w:rsidRPr="00672540">
        <w:rPr>
          <w:w w:val="105"/>
          <w:lang w:val="cs-CZ"/>
        </w:rPr>
        <w:t xml:space="preserve">1. </w:t>
      </w:r>
      <w:r w:rsidRPr="00672540">
        <w:rPr>
          <w:w w:val="120"/>
          <w:lang w:val="cs-CZ"/>
        </w:rPr>
        <w:t>NP. Došlo proto ke statické optim</w:t>
      </w:r>
      <w:r w:rsidRPr="00672540">
        <w:rPr>
          <w:w w:val="120"/>
          <w:lang w:val="cs-CZ"/>
        </w:rPr>
        <w:t>alizaci konstrukčního řešení, aby byly vzniklé vícepráce co nejnižší. Navýšení nákladů je popsáno v  položkovém rozpočtu v rámci změnového listu č.</w:t>
      </w:r>
      <w:r w:rsidRPr="00672540">
        <w:rPr>
          <w:spacing w:val="-2"/>
          <w:w w:val="120"/>
          <w:lang w:val="cs-CZ"/>
        </w:rPr>
        <w:t xml:space="preserve"> </w:t>
      </w:r>
      <w:r w:rsidRPr="00672540">
        <w:rPr>
          <w:w w:val="120"/>
          <w:lang w:val="cs-CZ"/>
        </w:rPr>
        <w:t>3.</w:t>
      </w:r>
    </w:p>
    <w:p w:rsidR="008642EF" w:rsidRPr="00672540" w:rsidRDefault="008642EF">
      <w:pPr>
        <w:pStyle w:val="Zkladntext"/>
        <w:spacing w:before="2"/>
        <w:rPr>
          <w:sz w:val="22"/>
          <w:lang w:val="cs-CZ"/>
        </w:rPr>
      </w:pPr>
    </w:p>
    <w:p w:rsidR="008642EF" w:rsidRPr="00672540" w:rsidRDefault="00672540">
      <w:pPr>
        <w:pStyle w:val="Odstavecseseznamem"/>
        <w:numPr>
          <w:ilvl w:val="1"/>
          <w:numId w:val="1"/>
        </w:numPr>
        <w:tabs>
          <w:tab w:val="left" w:pos="904"/>
        </w:tabs>
        <w:rPr>
          <w:sz w:val="18"/>
          <w:lang w:val="cs-CZ"/>
        </w:rPr>
      </w:pPr>
      <w:r w:rsidRPr="00672540">
        <w:rPr>
          <w:w w:val="120"/>
          <w:sz w:val="18"/>
          <w:lang w:val="cs-CZ"/>
        </w:rPr>
        <w:t>Změnový list</w:t>
      </w:r>
      <w:r w:rsidRPr="00672540">
        <w:rPr>
          <w:spacing w:val="-6"/>
          <w:w w:val="120"/>
          <w:sz w:val="18"/>
          <w:lang w:val="cs-CZ"/>
        </w:rPr>
        <w:t xml:space="preserve"> </w:t>
      </w:r>
      <w:r w:rsidRPr="00672540">
        <w:rPr>
          <w:w w:val="120"/>
          <w:sz w:val="18"/>
          <w:lang w:val="cs-CZ"/>
        </w:rPr>
        <w:t>č.4</w:t>
      </w:r>
    </w:p>
    <w:p w:rsidR="008642EF" w:rsidRPr="00672540" w:rsidRDefault="00672540">
      <w:pPr>
        <w:pStyle w:val="Zkladntext"/>
        <w:spacing w:before="176" w:line="259" w:lineRule="auto"/>
        <w:ind w:left="112" w:right="285" w:firstLine="708"/>
        <w:rPr>
          <w:lang w:val="cs-CZ"/>
        </w:rPr>
      </w:pPr>
      <w:r w:rsidRPr="00672540">
        <w:rPr>
          <w:w w:val="120"/>
          <w:lang w:val="cs-CZ"/>
        </w:rPr>
        <w:t xml:space="preserve">Na základě provedených úprav uvedených ve změnovém listu č. </w:t>
      </w:r>
      <w:r w:rsidRPr="00672540">
        <w:rPr>
          <w:lang w:val="cs-CZ"/>
        </w:rPr>
        <w:t xml:space="preserve">1 </w:t>
      </w:r>
      <w:r w:rsidRPr="00672540">
        <w:rPr>
          <w:w w:val="120"/>
          <w:lang w:val="cs-CZ"/>
        </w:rPr>
        <w:t xml:space="preserve">vznikly související </w:t>
      </w:r>
      <w:proofErr w:type="spellStart"/>
      <w:r w:rsidRPr="00672540">
        <w:rPr>
          <w:w w:val="120"/>
          <w:lang w:val="cs-CZ"/>
        </w:rPr>
        <w:t>méněpráce</w:t>
      </w:r>
      <w:proofErr w:type="spellEnd"/>
      <w:r w:rsidRPr="00672540">
        <w:rPr>
          <w:w w:val="120"/>
          <w:lang w:val="cs-CZ"/>
        </w:rPr>
        <w:t xml:space="preserve"> – projektem navržená technologie dodatečné izolace zdiva beztlakovou injektáží nebyla realizována. Dále, po dohodě s generálním projektantem, nebyla provedena betonová mazanina pod podlahovou deskou.</w:t>
      </w:r>
    </w:p>
    <w:p w:rsidR="008642EF" w:rsidRPr="00672540" w:rsidRDefault="008642EF">
      <w:pPr>
        <w:pStyle w:val="Zkladntext"/>
        <w:rPr>
          <w:sz w:val="22"/>
          <w:lang w:val="cs-CZ"/>
        </w:rPr>
      </w:pPr>
    </w:p>
    <w:p w:rsidR="008642EF" w:rsidRPr="00672540" w:rsidRDefault="00672540">
      <w:pPr>
        <w:pStyle w:val="Odstavecseseznamem"/>
        <w:numPr>
          <w:ilvl w:val="1"/>
          <w:numId w:val="1"/>
        </w:numPr>
        <w:tabs>
          <w:tab w:val="left" w:pos="904"/>
        </w:tabs>
        <w:spacing w:before="160"/>
        <w:rPr>
          <w:sz w:val="18"/>
          <w:lang w:val="cs-CZ"/>
        </w:rPr>
      </w:pPr>
      <w:r w:rsidRPr="00672540">
        <w:rPr>
          <w:w w:val="115"/>
          <w:sz w:val="18"/>
          <w:lang w:val="cs-CZ"/>
        </w:rPr>
        <w:t>Změnový list</w:t>
      </w:r>
      <w:r w:rsidRPr="00672540">
        <w:rPr>
          <w:spacing w:val="-1"/>
          <w:w w:val="115"/>
          <w:sz w:val="18"/>
          <w:lang w:val="cs-CZ"/>
        </w:rPr>
        <w:t xml:space="preserve"> </w:t>
      </w:r>
      <w:r w:rsidRPr="00672540">
        <w:rPr>
          <w:w w:val="115"/>
          <w:sz w:val="18"/>
          <w:lang w:val="cs-CZ"/>
        </w:rPr>
        <w:t>č.5</w:t>
      </w:r>
    </w:p>
    <w:p w:rsidR="008642EF" w:rsidRPr="00672540" w:rsidRDefault="00672540">
      <w:pPr>
        <w:pStyle w:val="Zkladntext"/>
        <w:spacing w:before="174"/>
        <w:ind w:left="112" w:right="285" w:firstLine="708"/>
        <w:rPr>
          <w:lang w:val="cs-CZ"/>
        </w:rPr>
      </w:pPr>
      <w:r w:rsidRPr="00672540">
        <w:rPr>
          <w:w w:val="125"/>
          <w:lang w:val="cs-CZ"/>
        </w:rPr>
        <w:t>Došlo</w:t>
      </w:r>
      <w:r w:rsidRPr="00672540">
        <w:rPr>
          <w:spacing w:val="-11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k</w:t>
      </w:r>
      <w:r w:rsidRPr="00672540">
        <w:rPr>
          <w:spacing w:val="-11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optimalizaci</w:t>
      </w:r>
      <w:r w:rsidRPr="00672540">
        <w:rPr>
          <w:spacing w:val="-12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použitých</w:t>
      </w:r>
      <w:r w:rsidRPr="00672540">
        <w:rPr>
          <w:spacing w:val="-10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prefabrikovaných</w:t>
      </w:r>
      <w:r w:rsidRPr="00672540">
        <w:rPr>
          <w:spacing w:val="-11"/>
          <w:w w:val="125"/>
          <w:lang w:val="cs-CZ"/>
        </w:rPr>
        <w:t xml:space="preserve"> </w:t>
      </w:r>
      <w:proofErr w:type="spellStart"/>
      <w:r w:rsidRPr="00672540">
        <w:rPr>
          <w:w w:val="125"/>
          <w:lang w:val="cs-CZ"/>
        </w:rPr>
        <w:t>keramobetonových</w:t>
      </w:r>
      <w:proofErr w:type="spellEnd"/>
      <w:r w:rsidRPr="00672540">
        <w:rPr>
          <w:spacing w:val="-10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překladů,</w:t>
      </w:r>
      <w:r w:rsidRPr="00672540">
        <w:rPr>
          <w:spacing w:val="-11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a</w:t>
      </w:r>
      <w:r w:rsidRPr="00672540">
        <w:rPr>
          <w:spacing w:val="-13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to</w:t>
      </w:r>
      <w:r w:rsidRPr="00672540">
        <w:rPr>
          <w:spacing w:val="-11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na</w:t>
      </w:r>
      <w:r w:rsidRPr="00672540">
        <w:rPr>
          <w:spacing w:val="-11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základě</w:t>
      </w:r>
      <w:r w:rsidRPr="00672540">
        <w:rPr>
          <w:spacing w:val="-11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rozdílu mezi statickým návrhem a výkazem výměr stavební části projektu. Součástí změnového listu je i vyčíslení vícenákladů spojených se zvětšením okenních a dveřních</w:t>
      </w:r>
      <w:r w:rsidRPr="00672540">
        <w:rPr>
          <w:spacing w:val="-26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výplní</w:t>
      </w:r>
      <w:r w:rsidRPr="00672540">
        <w:rPr>
          <w:w w:val="125"/>
          <w:lang w:val="cs-CZ"/>
        </w:rPr>
        <w:t>.</w:t>
      </w:r>
    </w:p>
    <w:p w:rsidR="008642EF" w:rsidRPr="00672540" w:rsidRDefault="008642EF">
      <w:pPr>
        <w:pStyle w:val="Zkladntext"/>
        <w:spacing w:before="1"/>
        <w:rPr>
          <w:lang w:val="cs-CZ"/>
        </w:rPr>
      </w:pPr>
    </w:p>
    <w:p w:rsidR="008642EF" w:rsidRPr="00672540" w:rsidRDefault="00672540">
      <w:pPr>
        <w:pStyle w:val="Odstavecseseznamem"/>
        <w:numPr>
          <w:ilvl w:val="1"/>
          <w:numId w:val="1"/>
        </w:numPr>
        <w:tabs>
          <w:tab w:val="left" w:pos="904"/>
        </w:tabs>
        <w:rPr>
          <w:sz w:val="18"/>
          <w:lang w:val="cs-CZ"/>
        </w:rPr>
      </w:pPr>
      <w:r w:rsidRPr="00672540">
        <w:rPr>
          <w:w w:val="115"/>
          <w:sz w:val="18"/>
          <w:lang w:val="cs-CZ"/>
        </w:rPr>
        <w:t>Změnový list</w:t>
      </w:r>
      <w:r w:rsidRPr="00672540">
        <w:rPr>
          <w:spacing w:val="-1"/>
          <w:w w:val="115"/>
          <w:sz w:val="18"/>
          <w:lang w:val="cs-CZ"/>
        </w:rPr>
        <w:t xml:space="preserve"> </w:t>
      </w:r>
      <w:r w:rsidRPr="00672540">
        <w:rPr>
          <w:w w:val="115"/>
          <w:sz w:val="18"/>
          <w:lang w:val="cs-CZ"/>
        </w:rPr>
        <w:t>č.6</w:t>
      </w:r>
    </w:p>
    <w:p w:rsidR="008642EF" w:rsidRPr="00672540" w:rsidRDefault="00672540">
      <w:pPr>
        <w:pStyle w:val="Zkladntext"/>
        <w:spacing w:before="174" w:line="219" w:lineRule="exact"/>
        <w:ind w:left="820"/>
        <w:rPr>
          <w:lang w:val="cs-CZ"/>
        </w:rPr>
      </w:pPr>
      <w:r w:rsidRPr="00672540">
        <w:rPr>
          <w:w w:val="125"/>
          <w:lang w:val="cs-CZ"/>
        </w:rPr>
        <w:t>Na základě koordinace s generálním projektantem a architekty došlo k úpravě skladby střešního pláště.</w:t>
      </w:r>
    </w:p>
    <w:p w:rsidR="008642EF" w:rsidRPr="00672540" w:rsidRDefault="00672540">
      <w:pPr>
        <w:pStyle w:val="Zkladntext"/>
        <w:spacing w:line="219" w:lineRule="exact"/>
        <w:ind w:left="111"/>
        <w:rPr>
          <w:lang w:val="cs-CZ"/>
        </w:rPr>
      </w:pPr>
      <w:r w:rsidRPr="00672540">
        <w:rPr>
          <w:w w:val="125"/>
          <w:lang w:val="cs-CZ"/>
        </w:rPr>
        <w:t>Jednotlivé položky jsou rozepsány v rámci změnového listu.</w:t>
      </w:r>
    </w:p>
    <w:p w:rsidR="008642EF" w:rsidRPr="00672540" w:rsidRDefault="008642EF">
      <w:pPr>
        <w:pStyle w:val="Zkladntext"/>
        <w:rPr>
          <w:sz w:val="22"/>
          <w:lang w:val="cs-CZ"/>
        </w:rPr>
      </w:pPr>
    </w:p>
    <w:p w:rsidR="008642EF" w:rsidRPr="00672540" w:rsidRDefault="008642EF">
      <w:pPr>
        <w:pStyle w:val="Zkladntext"/>
        <w:rPr>
          <w:sz w:val="22"/>
          <w:lang w:val="cs-CZ"/>
        </w:rPr>
      </w:pPr>
    </w:p>
    <w:p w:rsidR="008642EF" w:rsidRPr="00672540" w:rsidRDefault="008642EF">
      <w:pPr>
        <w:pStyle w:val="Zkladntext"/>
        <w:spacing w:before="10"/>
        <w:rPr>
          <w:sz w:val="19"/>
          <w:lang w:val="cs-CZ"/>
        </w:rPr>
      </w:pPr>
    </w:p>
    <w:p w:rsidR="008642EF" w:rsidRPr="00672540" w:rsidRDefault="00672540">
      <w:pPr>
        <w:pStyle w:val="Odstavecseseznamem"/>
        <w:numPr>
          <w:ilvl w:val="0"/>
          <w:numId w:val="1"/>
        </w:numPr>
        <w:tabs>
          <w:tab w:val="left" w:pos="471"/>
          <w:tab w:val="left" w:pos="472"/>
        </w:tabs>
        <w:rPr>
          <w:sz w:val="18"/>
          <w:lang w:val="cs-CZ"/>
        </w:rPr>
      </w:pPr>
      <w:r w:rsidRPr="00672540">
        <w:rPr>
          <w:w w:val="130"/>
          <w:sz w:val="18"/>
          <w:lang w:val="cs-CZ"/>
        </w:rPr>
        <w:t>Odůvodnění</w:t>
      </w:r>
    </w:p>
    <w:p w:rsidR="008642EF" w:rsidRPr="00672540" w:rsidRDefault="00672540">
      <w:pPr>
        <w:pStyle w:val="Odstavecseseznamem"/>
        <w:numPr>
          <w:ilvl w:val="1"/>
          <w:numId w:val="1"/>
        </w:numPr>
        <w:tabs>
          <w:tab w:val="left" w:pos="904"/>
        </w:tabs>
        <w:spacing w:before="18"/>
        <w:rPr>
          <w:sz w:val="18"/>
          <w:lang w:val="cs-CZ"/>
        </w:rPr>
      </w:pPr>
      <w:r w:rsidRPr="00672540">
        <w:rPr>
          <w:w w:val="115"/>
          <w:sz w:val="18"/>
          <w:lang w:val="cs-CZ"/>
        </w:rPr>
        <w:t>Změnový list</w:t>
      </w:r>
      <w:r w:rsidRPr="00672540">
        <w:rPr>
          <w:spacing w:val="-1"/>
          <w:w w:val="115"/>
          <w:sz w:val="18"/>
          <w:lang w:val="cs-CZ"/>
        </w:rPr>
        <w:t xml:space="preserve"> </w:t>
      </w:r>
      <w:r w:rsidRPr="00672540">
        <w:rPr>
          <w:w w:val="115"/>
          <w:sz w:val="18"/>
          <w:lang w:val="cs-CZ"/>
        </w:rPr>
        <w:t>č.3</w:t>
      </w:r>
    </w:p>
    <w:p w:rsidR="008642EF" w:rsidRPr="00672540" w:rsidRDefault="00672540">
      <w:pPr>
        <w:pStyle w:val="Zkladntext"/>
        <w:spacing w:before="176" w:line="259" w:lineRule="auto"/>
        <w:ind w:left="111" w:right="285" w:firstLine="708"/>
        <w:rPr>
          <w:lang w:val="cs-CZ"/>
        </w:rPr>
      </w:pPr>
      <w:r w:rsidRPr="00672540">
        <w:rPr>
          <w:w w:val="125"/>
          <w:lang w:val="cs-CZ"/>
        </w:rPr>
        <w:t>Projektem uvažované stropní nosníky (zejména stropní průvlaky profilu HEB 260) nebyly součástí zadávacího</w:t>
      </w:r>
      <w:r w:rsidRPr="00672540">
        <w:rPr>
          <w:spacing w:val="-12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rozpočtu.</w:t>
      </w:r>
      <w:r w:rsidRPr="00672540">
        <w:rPr>
          <w:spacing w:val="-11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Ve</w:t>
      </w:r>
      <w:r w:rsidRPr="00672540">
        <w:rPr>
          <w:spacing w:val="-12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spolupráci</w:t>
      </w:r>
      <w:r w:rsidRPr="00672540">
        <w:rPr>
          <w:spacing w:val="-12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s</w:t>
      </w:r>
      <w:r w:rsidRPr="00672540">
        <w:rPr>
          <w:spacing w:val="-11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hlavním</w:t>
      </w:r>
      <w:r w:rsidRPr="00672540">
        <w:rPr>
          <w:spacing w:val="-13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projektantem</w:t>
      </w:r>
      <w:r w:rsidRPr="00672540">
        <w:rPr>
          <w:spacing w:val="-11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a</w:t>
      </w:r>
      <w:r w:rsidRPr="00672540">
        <w:rPr>
          <w:spacing w:val="-12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projektantem</w:t>
      </w:r>
      <w:r w:rsidRPr="00672540">
        <w:rPr>
          <w:spacing w:val="-10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statiky</w:t>
      </w:r>
      <w:r w:rsidRPr="00672540">
        <w:rPr>
          <w:spacing w:val="-10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byla</w:t>
      </w:r>
      <w:r w:rsidRPr="00672540">
        <w:rPr>
          <w:spacing w:val="-12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provedena</w:t>
      </w:r>
      <w:r w:rsidRPr="00672540">
        <w:rPr>
          <w:spacing w:val="-13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konstrukční optimalizace,</w:t>
      </w:r>
      <w:r w:rsidRPr="00672540">
        <w:rPr>
          <w:spacing w:val="-6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která</w:t>
      </w:r>
      <w:r w:rsidRPr="00672540">
        <w:rPr>
          <w:spacing w:val="-7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kompenzovala</w:t>
      </w:r>
      <w:r w:rsidRPr="00672540">
        <w:rPr>
          <w:spacing w:val="-7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rozdíly</w:t>
      </w:r>
      <w:r w:rsidRPr="00672540">
        <w:rPr>
          <w:spacing w:val="-4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v</w:t>
      </w:r>
      <w:r w:rsidRPr="00672540">
        <w:rPr>
          <w:spacing w:val="-6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množství</w:t>
      </w:r>
      <w:r w:rsidRPr="00672540">
        <w:rPr>
          <w:spacing w:val="-9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konstrukční</w:t>
      </w:r>
      <w:r w:rsidRPr="00672540">
        <w:rPr>
          <w:spacing w:val="-6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oceli</w:t>
      </w:r>
      <w:r w:rsidRPr="00672540">
        <w:rPr>
          <w:spacing w:val="-7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mezi</w:t>
      </w:r>
      <w:r w:rsidRPr="00672540">
        <w:rPr>
          <w:spacing w:val="-7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projektem</w:t>
      </w:r>
      <w:r w:rsidRPr="00672540">
        <w:rPr>
          <w:spacing w:val="-5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a</w:t>
      </w:r>
      <w:r w:rsidRPr="00672540">
        <w:rPr>
          <w:spacing w:val="-6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rozpočtem.</w:t>
      </w:r>
    </w:p>
    <w:p w:rsidR="008642EF" w:rsidRPr="00672540" w:rsidRDefault="008642EF">
      <w:pPr>
        <w:pStyle w:val="Zkladntext"/>
        <w:rPr>
          <w:sz w:val="22"/>
          <w:lang w:val="cs-CZ"/>
        </w:rPr>
      </w:pPr>
    </w:p>
    <w:p w:rsidR="008642EF" w:rsidRPr="00672540" w:rsidRDefault="00672540">
      <w:pPr>
        <w:pStyle w:val="Odstavecseseznamem"/>
        <w:numPr>
          <w:ilvl w:val="1"/>
          <w:numId w:val="1"/>
        </w:numPr>
        <w:tabs>
          <w:tab w:val="left" w:pos="904"/>
        </w:tabs>
        <w:spacing w:before="160"/>
        <w:rPr>
          <w:sz w:val="18"/>
          <w:lang w:val="cs-CZ"/>
        </w:rPr>
      </w:pPr>
      <w:r w:rsidRPr="00672540">
        <w:rPr>
          <w:w w:val="120"/>
          <w:sz w:val="18"/>
          <w:lang w:val="cs-CZ"/>
        </w:rPr>
        <w:t>Změnový list</w:t>
      </w:r>
      <w:r w:rsidRPr="00672540">
        <w:rPr>
          <w:spacing w:val="-6"/>
          <w:w w:val="120"/>
          <w:sz w:val="18"/>
          <w:lang w:val="cs-CZ"/>
        </w:rPr>
        <w:t xml:space="preserve"> </w:t>
      </w:r>
      <w:r w:rsidRPr="00672540">
        <w:rPr>
          <w:w w:val="120"/>
          <w:sz w:val="18"/>
          <w:lang w:val="cs-CZ"/>
        </w:rPr>
        <w:t>č.4</w:t>
      </w:r>
    </w:p>
    <w:p w:rsidR="008642EF" w:rsidRPr="00672540" w:rsidRDefault="00672540">
      <w:pPr>
        <w:pStyle w:val="Zkladntext"/>
        <w:spacing w:before="176" w:line="259" w:lineRule="auto"/>
        <w:ind w:left="111" w:right="326" w:firstLine="708"/>
        <w:rPr>
          <w:lang w:val="cs-CZ"/>
        </w:rPr>
      </w:pPr>
      <w:r w:rsidRPr="00672540">
        <w:rPr>
          <w:w w:val="120"/>
          <w:lang w:val="cs-CZ"/>
        </w:rPr>
        <w:t xml:space="preserve">Díky změnám uvedeným ve změnovém listu č. </w:t>
      </w:r>
      <w:r w:rsidRPr="00672540">
        <w:rPr>
          <w:lang w:val="cs-CZ"/>
        </w:rPr>
        <w:t xml:space="preserve">1 </w:t>
      </w:r>
      <w:r w:rsidRPr="00672540">
        <w:rPr>
          <w:w w:val="120"/>
          <w:lang w:val="cs-CZ"/>
        </w:rPr>
        <w:t>(odstranění nevyhovujícího stávajícího zdiva) nebyla použita technologie dodatečné hydroizolace zdiva beztlakovou injektáží. Betonová mazanina pod p</w:t>
      </w:r>
      <w:r w:rsidRPr="00672540">
        <w:rPr>
          <w:w w:val="120"/>
          <w:lang w:val="cs-CZ"/>
        </w:rPr>
        <w:t xml:space="preserve">odkladní deskou, původně zamýšlená jako ochrana výztuže proti znečištění (např. zeminou), rovněž nebyla realizována. Jako náhrada byla použita hutněná vrstva </w:t>
      </w:r>
      <w:proofErr w:type="spellStart"/>
      <w:r w:rsidRPr="00672540">
        <w:rPr>
          <w:w w:val="120"/>
          <w:lang w:val="cs-CZ"/>
        </w:rPr>
        <w:t>štěrkodrti</w:t>
      </w:r>
      <w:proofErr w:type="spellEnd"/>
      <w:r w:rsidRPr="00672540">
        <w:rPr>
          <w:w w:val="120"/>
          <w:lang w:val="cs-CZ"/>
        </w:rPr>
        <w:t xml:space="preserve"> a ochranná </w:t>
      </w:r>
      <w:proofErr w:type="spellStart"/>
      <w:r w:rsidRPr="00672540">
        <w:rPr>
          <w:w w:val="120"/>
          <w:lang w:val="cs-CZ"/>
        </w:rPr>
        <w:t>geotextilie</w:t>
      </w:r>
      <w:proofErr w:type="spellEnd"/>
      <w:r w:rsidRPr="00672540">
        <w:rPr>
          <w:w w:val="120"/>
          <w:lang w:val="cs-CZ"/>
        </w:rPr>
        <w:t>.</w:t>
      </w:r>
    </w:p>
    <w:p w:rsidR="008642EF" w:rsidRPr="00672540" w:rsidRDefault="008642EF">
      <w:pPr>
        <w:pStyle w:val="Zkladntext"/>
        <w:rPr>
          <w:sz w:val="22"/>
          <w:lang w:val="cs-CZ"/>
        </w:rPr>
      </w:pPr>
    </w:p>
    <w:p w:rsidR="008642EF" w:rsidRPr="00672540" w:rsidRDefault="00672540">
      <w:pPr>
        <w:pStyle w:val="Odstavecseseznamem"/>
        <w:numPr>
          <w:ilvl w:val="1"/>
          <w:numId w:val="1"/>
        </w:numPr>
        <w:tabs>
          <w:tab w:val="left" w:pos="904"/>
        </w:tabs>
        <w:spacing w:before="157"/>
        <w:rPr>
          <w:sz w:val="18"/>
          <w:lang w:val="cs-CZ"/>
        </w:rPr>
      </w:pPr>
      <w:r w:rsidRPr="00672540">
        <w:rPr>
          <w:w w:val="115"/>
          <w:sz w:val="18"/>
          <w:lang w:val="cs-CZ"/>
        </w:rPr>
        <w:t>Změnový list</w:t>
      </w:r>
      <w:r w:rsidRPr="00672540">
        <w:rPr>
          <w:spacing w:val="-1"/>
          <w:w w:val="115"/>
          <w:sz w:val="18"/>
          <w:lang w:val="cs-CZ"/>
        </w:rPr>
        <w:t xml:space="preserve"> </w:t>
      </w:r>
      <w:r w:rsidRPr="00672540">
        <w:rPr>
          <w:w w:val="115"/>
          <w:sz w:val="18"/>
          <w:lang w:val="cs-CZ"/>
        </w:rPr>
        <w:t>č.5</w:t>
      </w:r>
    </w:p>
    <w:p w:rsidR="008642EF" w:rsidRPr="00672540" w:rsidRDefault="00672540">
      <w:pPr>
        <w:pStyle w:val="Zkladntext"/>
        <w:spacing w:before="177" w:line="259" w:lineRule="auto"/>
        <w:ind w:left="111" w:firstLine="708"/>
        <w:rPr>
          <w:lang w:val="cs-CZ"/>
        </w:rPr>
      </w:pPr>
      <w:r w:rsidRPr="00672540">
        <w:rPr>
          <w:w w:val="125"/>
          <w:lang w:val="cs-CZ"/>
        </w:rPr>
        <w:t>Stavební</w:t>
      </w:r>
      <w:r w:rsidRPr="00672540">
        <w:rPr>
          <w:spacing w:val="-12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část</w:t>
      </w:r>
      <w:r w:rsidRPr="00672540">
        <w:rPr>
          <w:spacing w:val="-13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projektu</w:t>
      </w:r>
      <w:r w:rsidRPr="00672540">
        <w:rPr>
          <w:spacing w:val="-10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uváděla</w:t>
      </w:r>
      <w:r w:rsidRPr="00672540">
        <w:rPr>
          <w:spacing w:val="-12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použití</w:t>
      </w:r>
      <w:r w:rsidRPr="00672540">
        <w:rPr>
          <w:spacing w:val="-12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prefab</w:t>
      </w:r>
      <w:r w:rsidRPr="00672540">
        <w:rPr>
          <w:w w:val="125"/>
          <w:lang w:val="cs-CZ"/>
        </w:rPr>
        <w:t>rikovaných</w:t>
      </w:r>
      <w:r w:rsidRPr="00672540">
        <w:rPr>
          <w:spacing w:val="-11"/>
          <w:w w:val="125"/>
          <w:lang w:val="cs-CZ"/>
        </w:rPr>
        <w:t xml:space="preserve"> </w:t>
      </w:r>
      <w:proofErr w:type="spellStart"/>
      <w:r w:rsidRPr="00672540">
        <w:rPr>
          <w:w w:val="125"/>
          <w:lang w:val="cs-CZ"/>
        </w:rPr>
        <w:t>keramobetonových</w:t>
      </w:r>
      <w:proofErr w:type="spellEnd"/>
      <w:r w:rsidRPr="00672540">
        <w:rPr>
          <w:spacing w:val="-11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překladů</w:t>
      </w:r>
      <w:r w:rsidRPr="00672540">
        <w:rPr>
          <w:spacing w:val="-10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u</w:t>
      </w:r>
      <w:r w:rsidRPr="00672540">
        <w:rPr>
          <w:spacing w:val="-13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většiny</w:t>
      </w:r>
      <w:r w:rsidRPr="00672540">
        <w:rPr>
          <w:spacing w:val="-10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okenních otvorů.</w:t>
      </w:r>
      <w:r w:rsidRPr="00672540">
        <w:rPr>
          <w:spacing w:val="-12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Jejich</w:t>
      </w:r>
      <w:r w:rsidRPr="00672540">
        <w:rPr>
          <w:spacing w:val="-13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množství</w:t>
      </w:r>
      <w:r w:rsidRPr="00672540">
        <w:rPr>
          <w:spacing w:val="-13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a</w:t>
      </w:r>
      <w:r w:rsidRPr="00672540">
        <w:rPr>
          <w:spacing w:val="-12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technická</w:t>
      </w:r>
      <w:r w:rsidRPr="00672540">
        <w:rPr>
          <w:spacing w:val="-13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proveditelnost</w:t>
      </w:r>
      <w:r w:rsidRPr="00672540">
        <w:rPr>
          <w:spacing w:val="-13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však</w:t>
      </w:r>
      <w:r w:rsidRPr="00672540">
        <w:rPr>
          <w:spacing w:val="-12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nekorespondovaly</w:t>
      </w:r>
      <w:r w:rsidRPr="00672540">
        <w:rPr>
          <w:spacing w:val="-11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se</w:t>
      </w:r>
      <w:r w:rsidRPr="00672540">
        <w:rPr>
          <w:spacing w:val="-15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statickým</w:t>
      </w:r>
      <w:r w:rsidRPr="00672540">
        <w:rPr>
          <w:spacing w:val="-11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návrhem</w:t>
      </w:r>
      <w:r w:rsidRPr="00672540">
        <w:rPr>
          <w:spacing w:val="-13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nadpraží.</w:t>
      </w:r>
      <w:r w:rsidRPr="00672540">
        <w:rPr>
          <w:spacing w:val="-11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 xml:space="preserve">Proto byla provedena jejich optimalizace. Vzniklé </w:t>
      </w:r>
      <w:proofErr w:type="spellStart"/>
      <w:r w:rsidRPr="00672540">
        <w:rPr>
          <w:w w:val="125"/>
          <w:lang w:val="cs-CZ"/>
        </w:rPr>
        <w:t>méněpráce</w:t>
      </w:r>
      <w:proofErr w:type="spellEnd"/>
      <w:r w:rsidRPr="00672540">
        <w:rPr>
          <w:w w:val="125"/>
          <w:lang w:val="cs-CZ"/>
        </w:rPr>
        <w:t xml:space="preserve"> jsou popsány ve změnovém listu. Jeho součástí je také vyčíslení</w:t>
      </w:r>
      <w:r w:rsidRPr="00672540">
        <w:rPr>
          <w:spacing w:val="-13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vícenákladů</w:t>
      </w:r>
      <w:r w:rsidRPr="00672540">
        <w:rPr>
          <w:spacing w:val="-11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spojených</w:t>
      </w:r>
      <w:r w:rsidRPr="00672540">
        <w:rPr>
          <w:spacing w:val="-11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se</w:t>
      </w:r>
      <w:r w:rsidRPr="00672540">
        <w:rPr>
          <w:spacing w:val="-13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zvětšením</w:t>
      </w:r>
      <w:r w:rsidRPr="00672540">
        <w:rPr>
          <w:spacing w:val="-11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okenních</w:t>
      </w:r>
      <w:r w:rsidRPr="00672540">
        <w:rPr>
          <w:spacing w:val="-11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otvorů</w:t>
      </w:r>
      <w:r w:rsidRPr="00672540">
        <w:rPr>
          <w:spacing w:val="-13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–</w:t>
      </w:r>
      <w:r w:rsidRPr="00672540">
        <w:rPr>
          <w:spacing w:val="-11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otvory</w:t>
      </w:r>
      <w:r w:rsidRPr="00672540">
        <w:rPr>
          <w:spacing w:val="-14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byly</w:t>
      </w:r>
      <w:r w:rsidRPr="00672540">
        <w:rPr>
          <w:spacing w:val="-13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vyzděny</w:t>
      </w:r>
      <w:r w:rsidRPr="00672540">
        <w:rPr>
          <w:spacing w:val="-11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dle</w:t>
      </w:r>
      <w:r w:rsidRPr="00672540">
        <w:rPr>
          <w:spacing w:val="-12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stavební</w:t>
      </w:r>
      <w:r w:rsidRPr="00672540">
        <w:rPr>
          <w:spacing w:val="-12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dokumentace, kde byly kótovací čáry vztaženy k</w:t>
      </w:r>
      <w:r w:rsidRPr="00672540">
        <w:rPr>
          <w:w w:val="125"/>
          <w:lang w:val="cs-CZ"/>
        </w:rPr>
        <w:t xml:space="preserve"> čistým hranám otvorů, nikoliv ke stavebnímu rozměru. V </w:t>
      </w:r>
      <w:r w:rsidRPr="00672540">
        <w:rPr>
          <w:w w:val="105"/>
          <w:lang w:val="cs-CZ"/>
        </w:rPr>
        <w:t xml:space="preserve">1. </w:t>
      </w:r>
      <w:r w:rsidRPr="00672540">
        <w:rPr>
          <w:w w:val="125"/>
          <w:lang w:val="cs-CZ"/>
        </w:rPr>
        <w:t>NP tak došlo ke zvětšení</w:t>
      </w:r>
      <w:r w:rsidRPr="00672540">
        <w:rPr>
          <w:spacing w:val="-15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otvorů</w:t>
      </w:r>
      <w:r w:rsidRPr="00672540">
        <w:rPr>
          <w:spacing w:val="-13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přibližně</w:t>
      </w:r>
      <w:r w:rsidRPr="00672540">
        <w:rPr>
          <w:spacing w:val="-14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o</w:t>
      </w:r>
      <w:r w:rsidRPr="00672540">
        <w:rPr>
          <w:spacing w:val="-14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100</w:t>
      </w:r>
      <w:r w:rsidRPr="00672540">
        <w:rPr>
          <w:spacing w:val="-13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mm,</w:t>
      </w:r>
      <w:r w:rsidRPr="00672540">
        <w:rPr>
          <w:spacing w:val="-14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což</w:t>
      </w:r>
      <w:r w:rsidRPr="00672540">
        <w:rPr>
          <w:spacing w:val="-14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se</w:t>
      </w:r>
      <w:r w:rsidRPr="00672540">
        <w:rPr>
          <w:spacing w:val="-17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promítlo</w:t>
      </w:r>
      <w:r w:rsidRPr="00672540">
        <w:rPr>
          <w:spacing w:val="-14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do</w:t>
      </w:r>
      <w:r w:rsidRPr="00672540">
        <w:rPr>
          <w:spacing w:val="-13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vícenákladů</w:t>
      </w:r>
      <w:r w:rsidRPr="00672540">
        <w:rPr>
          <w:spacing w:val="-13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na</w:t>
      </w:r>
      <w:r w:rsidRPr="00672540">
        <w:rPr>
          <w:spacing w:val="-14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větší</w:t>
      </w:r>
      <w:r w:rsidRPr="00672540">
        <w:rPr>
          <w:spacing w:val="-15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výplně</w:t>
      </w:r>
      <w:r w:rsidRPr="00672540">
        <w:rPr>
          <w:spacing w:val="-14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otvorů</w:t>
      </w:r>
      <w:r w:rsidRPr="00672540">
        <w:rPr>
          <w:spacing w:val="-13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v</w:t>
      </w:r>
      <w:r w:rsidRPr="00672540">
        <w:rPr>
          <w:spacing w:val="-15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obvodových</w:t>
      </w:r>
      <w:r w:rsidRPr="00672540">
        <w:rPr>
          <w:spacing w:val="-15"/>
          <w:w w:val="125"/>
          <w:lang w:val="cs-CZ"/>
        </w:rPr>
        <w:t xml:space="preserve"> </w:t>
      </w:r>
      <w:r w:rsidRPr="00672540">
        <w:rPr>
          <w:w w:val="125"/>
          <w:lang w:val="cs-CZ"/>
        </w:rPr>
        <w:t>stěnách.</w:t>
      </w:r>
    </w:p>
    <w:p w:rsidR="008642EF" w:rsidRPr="00672540" w:rsidRDefault="008642EF">
      <w:pPr>
        <w:spacing w:line="259" w:lineRule="auto"/>
        <w:rPr>
          <w:lang w:val="cs-CZ"/>
        </w:rPr>
        <w:sectPr w:rsidR="008642EF" w:rsidRPr="00672540">
          <w:pgSz w:w="11900" w:h="16840"/>
          <w:pgMar w:top="1600" w:right="720" w:bottom="280" w:left="740" w:header="708" w:footer="708" w:gutter="0"/>
          <w:cols w:space="708"/>
        </w:sectPr>
      </w:pPr>
    </w:p>
    <w:p w:rsidR="008642EF" w:rsidRPr="00672540" w:rsidRDefault="008642EF">
      <w:pPr>
        <w:pStyle w:val="Zkladntext"/>
        <w:rPr>
          <w:sz w:val="20"/>
          <w:lang w:val="cs-CZ"/>
        </w:rPr>
      </w:pPr>
    </w:p>
    <w:p w:rsidR="008642EF" w:rsidRPr="00672540" w:rsidRDefault="008642EF">
      <w:pPr>
        <w:pStyle w:val="Zkladntext"/>
        <w:spacing w:before="7"/>
        <w:rPr>
          <w:sz w:val="26"/>
          <w:lang w:val="cs-CZ"/>
        </w:rPr>
      </w:pPr>
    </w:p>
    <w:p w:rsidR="008642EF" w:rsidRPr="00672540" w:rsidRDefault="00672540">
      <w:pPr>
        <w:pStyle w:val="Odstavecseseznamem"/>
        <w:numPr>
          <w:ilvl w:val="1"/>
          <w:numId w:val="1"/>
        </w:numPr>
        <w:tabs>
          <w:tab w:val="left" w:pos="904"/>
        </w:tabs>
        <w:spacing w:before="103"/>
        <w:rPr>
          <w:sz w:val="18"/>
          <w:lang w:val="cs-CZ"/>
        </w:rPr>
      </w:pPr>
      <w:r w:rsidRPr="00672540">
        <w:rPr>
          <w:w w:val="115"/>
          <w:sz w:val="18"/>
          <w:lang w:val="cs-CZ"/>
        </w:rPr>
        <w:t>Změnový list</w:t>
      </w:r>
      <w:r w:rsidRPr="00672540">
        <w:rPr>
          <w:spacing w:val="-1"/>
          <w:w w:val="115"/>
          <w:sz w:val="18"/>
          <w:lang w:val="cs-CZ"/>
        </w:rPr>
        <w:t xml:space="preserve"> </w:t>
      </w:r>
      <w:r w:rsidRPr="00672540">
        <w:rPr>
          <w:w w:val="115"/>
          <w:sz w:val="18"/>
          <w:lang w:val="cs-CZ"/>
        </w:rPr>
        <w:t>č.6</w:t>
      </w:r>
    </w:p>
    <w:p w:rsidR="008642EF" w:rsidRPr="00672540" w:rsidRDefault="00672540">
      <w:pPr>
        <w:pStyle w:val="Zkladntext"/>
        <w:spacing w:before="179"/>
        <w:ind w:left="820"/>
        <w:jc w:val="both"/>
        <w:rPr>
          <w:lang w:val="cs-CZ"/>
        </w:rPr>
      </w:pPr>
      <w:r w:rsidRPr="00672540">
        <w:rPr>
          <w:w w:val="125"/>
          <w:lang w:val="cs-CZ"/>
        </w:rPr>
        <w:t>Po koordinaci s generálním projektantem a architekty došlo ke změně skladby střešního pláště.</w:t>
      </w:r>
    </w:p>
    <w:p w:rsidR="008642EF" w:rsidRPr="00672540" w:rsidRDefault="00672540">
      <w:pPr>
        <w:pStyle w:val="Zkladntext"/>
        <w:spacing w:before="15" w:line="259" w:lineRule="auto"/>
        <w:ind w:left="112" w:right="567"/>
        <w:jc w:val="both"/>
        <w:rPr>
          <w:lang w:val="cs-CZ"/>
        </w:rPr>
      </w:pPr>
      <w:r w:rsidRPr="00672540">
        <w:rPr>
          <w:w w:val="120"/>
          <w:lang w:val="cs-CZ"/>
        </w:rPr>
        <w:t>Projektem původně uvažovaná střešní krytina z PVC fólie byla z důvodu jednodušší údržby během životnosti stavby nahrazena profilovanými plechovými šablonami. Ty b</w:t>
      </w:r>
      <w:r w:rsidRPr="00672540">
        <w:rPr>
          <w:w w:val="120"/>
          <w:lang w:val="cs-CZ"/>
        </w:rPr>
        <w:t xml:space="preserve">yly v původní dokumentaci navrženy pouze jako pohledové. Vyčíslení vzniklých </w:t>
      </w:r>
      <w:proofErr w:type="spellStart"/>
      <w:r w:rsidRPr="00672540">
        <w:rPr>
          <w:w w:val="120"/>
          <w:lang w:val="cs-CZ"/>
        </w:rPr>
        <w:t>méněprací</w:t>
      </w:r>
      <w:proofErr w:type="spellEnd"/>
      <w:r w:rsidRPr="00672540">
        <w:rPr>
          <w:w w:val="120"/>
          <w:lang w:val="cs-CZ"/>
        </w:rPr>
        <w:t xml:space="preserve"> je uvedeno v příslušném změnovém listu.</w:t>
      </w:r>
    </w:p>
    <w:p w:rsidR="008642EF" w:rsidRPr="00672540" w:rsidRDefault="008642EF">
      <w:pPr>
        <w:pStyle w:val="Zkladntext"/>
        <w:rPr>
          <w:sz w:val="20"/>
          <w:lang w:val="cs-CZ"/>
        </w:rPr>
      </w:pPr>
    </w:p>
    <w:p w:rsidR="008642EF" w:rsidRPr="00672540" w:rsidRDefault="008642EF">
      <w:pPr>
        <w:pStyle w:val="Zkladntext"/>
        <w:rPr>
          <w:sz w:val="20"/>
          <w:lang w:val="cs-CZ"/>
        </w:rPr>
      </w:pPr>
    </w:p>
    <w:p w:rsidR="008642EF" w:rsidRPr="00672540" w:rsidRDefault="008642EF">
      <w:pPr>
        <w:pStyle w:val="Zkladntext"/>
        <w:rPr>
          <w:sz w:val="20"/>
          <w:lang w:val="cs-CZ"/>
        </w:rPr>
      </w:pPr>
    </w:p>
    <w:p w:rsidR="008642EF" w:rsidRPr="00672540" w:rsidRDefault="008642EF">
      <w:pPr>
        <w:rPr>
          <w:sz w:val="20"/>
          <w:lang w:val="cs-CZ"/>
        </w:rPr>
        <w:sectPr w:rsidR="008642EF" w:rsidRPr="00672540">
          <w:pgSz w:w="11900" w:h="16840"/>
          <w:pgMar w:top="1600" w:right="720" w:bottom="280" w:left="740" w:header="708" w:footer="708" w:gutter="0"/>
          <w:cols w:space="708"/>
        </w:sectPr>
      </w:pPr>
    </w:p>
    <w:p w:rsidR="008642EF" w:rsidRPr="00672540" w:rsidRDefault="00672540">
      <w:pPr>
        <w:pStyle w:val="Zkladntext"/>
        <w:spacing w:before="11"/>
        <w:rPr>
          <w:lang w:val="cs-CZ"/>
        </w:rPr>
      </w:pPr>
      <w:bookmarkStart w:id="0" w:name="_GoBack"/>
      <w:r w:rsidRPr="00672540">
        <w:rPr>
          <w:noProof/>
          <w:lang w:val="cs-CZ"/>
        </w:rPr>
        <w:drawing>
          <wp:anchor distT="0" distB="0" distL="0" distR="0" simplePos="0" relativeHeight="2515589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</wp:posOffset>
            </wp:positionV>
            <wp:extent cx="7555991" cy="1069135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642EF" w:rsidRPr="00672540" w:rsidRDefault="00672540">
      <w:pPr>
        <w:pStyle w:val="Zkladntext"/>
        <w:ind w:left="820"/>
        <w:rPr>
          <w:lang w:val="cs-CZ"/>
        </w:rPr>
      </w:pPr>
      <w:r w:rsidRPr="00672540">
        <w:rPr>
          <w:w w:val="120"/>
          <w:lang w:val="cs-CZ"/>
        </w:rPr>
        <w:t>V Rokycanech 10.4.2025</w:t>
      </w:r>
    </w:p>
    <w:p w:rsidR="008642EF" w:rsidRPr="00672540" w:rsidRDefault="00672540">
      <w:pPr>
        <w:pStyle w:val="Zkladntext"/>
        <w:rPr>
          <w:sz w:val="22"/>
          <w:lang w:val="cs-CZ"/>
        </w:rPr>
      </w:pPr>
      <w:r w:rsidRPr="00672540">
        <w:rPr>
          <w:lang w:val="cs-CZ"/>
        </w:rPr>
        <w:br w:type="column"/>
      </w:r>
    </w:p>
    <w:p w:rsidR="008642EF" w:rsidRPr="00672540" w:rsidRDefault="008642EF">
      <w:pPr>
        <w:pStyle w:val="Zkladntext"/>
        <w:spacing w:before="7"/>
        <w:rPr>
          <w:sz w:val="29"/>
          <w:lang w:val="cs-CZ"/>
        </w:rPr>
      </w:pPr>
    </w:p>
    <w:p w:rsidR="00672540" w:rsidRDefault="00672540">
      <w:pPr>
        <w:pStyle w:val="Zkladntext"/>
        <w:spacing w:line="432" w:lineRule="auto"/>
        <w:ind w:left="820" w:right="118" w:firstLine="456"/>
        <w:jc w:val="right"/>
        <w:rPr>
          <w:w w:val="120"/>
          <w:lang w:val="cs-CZ"/>
        </w:rPr>
      </w:pPr>
      <w:r>
        <w:rPr>
          <w:w w:val="120"/>
          <w:lang w:val="cs-CZ"/>
        </w:rPr>
        <w:t>XXX</w:t>
      </w:r>
    </w:p>
    <w:p w:rsidR="008642EF" w:rsidRPr="00672540" w:rsidRDefault="00672540">
      <w:pPr>
        <w:pStyle w:val="Zkladntext"/>
        <w:spacing w:line="432" w:lineRule="auto"/>
        <w:ind w:left="820" w:right="118" w:firstLine="456"/>
        <w:jc w:val="right"/>
        <w:rPr>
          <w:w w:val="120"/>
          <w:lang w:val="cs-CZ"/>
        </w:rPr>
      </w:pPr>
      <w:r w:rsidRPr="00672540">
        <w:rPr>
          <w:w w:val="120"/>
          <w:lang w:val="cs-CZ"/>
        </w:rPr>
        <w:t>XXX</w:t>
      </w:r>
    </w:p>
    <w:p w:rsidR="008642EF" w:rsidRPr="00672540" w:rsidRDefault="00672540">
      <w:pPr>
        <w:pStyle w:val="Zkladntext"/>
        <w:spacing w:before="1"/>
        <w:ind w:right="117"/>
        <w:jc w:val="right"/>
        <w:rPr>
          <w:lang w:val="cs-CZ"/>
        </w:rPr>
      </w:pPr>
      <w:r w:rsidRPr="00672540">
        <w:rPr>
          <w:spacing w:val="-1"/>
          <w:w w:val="125"/>
          <w:lang w:val="cs-CZ"/>
        </w:rPr>
        <w:t>---</w:t>
      </w:r>
    </w:p>
    <w:p w:rsidR="008642EF" w:rsidRDefault="00672540">
      <w:pPr>
        <w:pStyle w:val="Zkladntext"/>
        <w:spacing w:before="176"/>
        <w:ind w:left="911" w:right="115" w:firstLine="86"/>
      </w:pPr>
      <w:r w:rsidRPr="00672540">
        <w:rPr>
          <w:w w:val="115"/>
          <w:lang w:val="cs-CZ"/>
        </w:rPr>
        <w:t>A.D.S. Rokycany s.r.o.</w:t>
      </w:r>
      <w:hyperlink r:id="rId6">
        <w:r w:rsidRPr="00672540">
          <w:rPr>
            <w:w w:val="115"/>
            <w:lang w:val="cs-CZ"/>
          </w:rPr>
          <w:t xml:space="preserve"> www.ads-rokycany.cz</w:t>
        </w:r>
      </w:hyperlink>
    </w:p>
    <w:sectPr w:rsidR="008642EF">
      <w:type w:val="continuous"/>
      <w:pgSz w:w="11900" w:h="16840"/>
      <w:pgMar w:top="1600" w:right="720" w:bottom="280" w:left="740" w:header="708" w:footer="708" w:gutter="0"/>
      <w:cols w:num="2" w:space="708" w:equalWidth="0">
        <w:col w:w="2998" w:space="4464"/>
        <w:col w:w="29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73052"/>
    <w:multiLevelType w:val="multilevel"/>
    <w:tmpl w:val="35402EEC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spacing w:val="0"/>
        <w:w w:val="75"/>
        <w:sz w:val="18"/>
        <w:szCs w:val="18"/>
      </w:rPr>
    </w:lvl>
    <w:lvl w:ilvl="1">
      <w:start w:val="1"/>
      <w:numFmt w:val="decimal"/>
      <w:lvlText w:val="%1.%2."/>
      <w:lvlJc w:val="left"/>
      <w:pPr>
        <w:ind w:left="904" w:hanging="432"/>
        <w:jc w:val="left"/>
      </w:pPr>
      <w:rPr>
        <w:rFonts w:ascii="Calibri" w:eastAsia="Calibri" w:hAnsi="Calibri" w:cs="Calibri" w:hint="default"/>
        <w:spacing w:val="0"/>
        <w:w w:val="69"/>
        <w:sz w:val="18"/>
        <w:szCs w:val="18"/>
      </w:rPr>
    </w:lvl>
    <w:lvl w:ilvl="2">
      <w:numFmt w:val="bullet"/>
      <w:lvlText w:val="•"/>
      <w:lvlJc w:val="left"/>
      <w:pPr>
        <w:ind w:left="1000" w:hanging="432"/>
      </w:pPr>
      <w:rPr>
        <w:rFonts w:hint="default"/>
      </w:rPr>
    </w:lvl>
    <w:lvl w:ilvl="3">
      <w:numFmt w:val="bullet"/>
      <w:lvlText w:val="•"/>
      <w:lvlJc w:val="left"/>
      <w:pPr>
        <w:ind w:left="1249" w:hanging="432"/>
      </w:pPr>
      <w:rPr>
        <w:rFonts w:hint="default"/>
      </w:rPr>
    </w:lvl>
    <w:lvl w:ilvl="4">
      <w:numFmt w:val="bullet"/>
      <w:lvlText w:val="•"/>
      <w:lvlJc w:val="left"/>
      <w:pPr>
        <w:ind w:left="1499" w:hanging="432"/>
      </w:pPr>
      <w:rPr>
        <w:rFonts w:hint="default"/>
      </w:rPr>
    </w:lvl>
    <w:lvl w:ilvl="5">
      <w:numFmt w:val="bullet"/>
      <w:lvlText w:val="•"/>
      <w:lvlJc w:val="left"/>
      <w:pPr>
        <w:ind w:left="1748" w:hanging="432"/>
      </w:pPr>
      <w:rPr>
        <w:rFonts w:hint="default"/>
      </w:rPr>
    </w:lvl>
    <w:lvl w:ilvl="6">
      <w:numFmt w:val="bullet"/>
      <w:lvlText w:val="•"/>
      <w:lvlJc w:val="left"/>
      <w:pPr>
        <w:ind w:left="1998" w:hanging="432"/>
      </w:pPr>
      <w:rPr>
        <w:rFonts w:hint="default"/>
      </w:rPr>
    </w:lvl>
    <w:lvl w:ilvl="7">
      <w:numFmt w:val="bullet"/>
      <w:lvlText w:val="•"/>
      <w:lvlJc w:val="left"/>
      <w:pPr>
        <w:ind w:left="2248" w:hanging="432"/>
      </w:pPr>
      <w:rPr>
        <w:rFonts w:hint="default"/>
      </w:rPr>
    </w:lvl>
    <w:lvl w:ilvl="8">
      <w:numFmt w:val="bullet"/>
      <w:lvlText w:val="•"/>
      <w:lvlJc w:val="left"/>
      <w:pPr>
        <w:ind w:left="2497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2EF"/>
    <w:rsid w:val="00672540"/>
    <w:rsid w:val="0086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AE05"/>
  <w15:docId w15:val="{3C3EF6DE-94B8-49A0-8079-42FFD72D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82"/>
      <w:ind w:right="7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904" w:hanging="43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-rokycany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(Microsoft Word - dùvodová zpráva TDS ZL è.3,4,5,6)</vt:lpstr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dùvodová zpráva TDS ZL è.3,4,5,6)</dc:title>
  <dc:creator>kostal</dc:creator>
  <cp:lastModifiedBy>Domov "Zvíkovecká kytička"</cp:lastModifiedBy>
  <cp:revision>2</cp:revision>
  <dcterms:created xsi:type="dcterms:W3CDTF">2025-05-12T05:49:00Z</dcterms:created>
  <dcterms:modified xsi:type="dcterms:W3CDTF">2025-05-12T05:51:00Z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2025-05-12T00:00:00Z</vt:filetime>
  </property>
</Properties>
</file>