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C1129A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C100FF">
        <w:rPr>
          <w:sz w:val="22"/>
          <w:szCs w:val="22"/>
        </w:rPr>
        <w:t>…………</w:t>
      </w:r>
      <w:r w:rsidRPr="007D54F6">
        <w:rPr>
          <w:sz w:val="22"/>
          <w:szCs w:val="22"/>
        </w:rPr>
        <w:t xml:space="preserve"> ředitel</w:t>
      </w:r>
    </w:p>
    <w:p w14:paraId="31C5A6F9" w14:textId="49248F35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C100FF">
        <w:rPr>
          <w:sz w:val="22"/>
          <w:szCs w:val="22"/>
        </w:rPr>
        <w:t>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7559E80B" w:rsidR="009D3AA4" w:rsidRPr="00F7752E" w:rsidRDefault="00E934AE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E934AE">
        <w:rPr>
          <w:rFonts w:ascii="Times New Roman" w:hAnsi="Times New Roman"/>
          <w:sz w:val="22"/>
          <w:szCs w:val="22"/>
        </w:rPr>
        <w:t>DSD PROFI s.r.o.</w:t>
      </w:r>
    </w:p>
    <w:p w14:paraId="5EE075F4" w14:textId="4649C12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34AE" w:rsidRPr="00E934AE">
        <w:rPr>
          <w:rFonts w:ascii="Times New Roman" w:hAnsi="Times New Roman"/>
          <w:b w:val="0"/>
          <w:sz w:val="22"/>
          <w:szCs w:val="22"/>
        </w:rPr>
        <w:t xml:space="preserve">Karlova </w:t>
      </w:r>
      <w:r w:rsidR="00D12746">
        <w:rPr>
          <w:rFonts w:ascii="Times New Roman" w:hAnsi="Times New Roman"/>
          <w:b w:val="0"/>
          <w:sz w:val="22"/>
          <w:szCs w:val="22"/>
        </w:rPr>
        <w:t>211/</w:t>
      </w:r>
      <w:r w:rsidR="00E934AE" w:rsidRPr="00E934AE">
        <w:rPr>
          <w:rFonts w:ascii="Times New Roman" w:hAnsi="Times New Roman"/>
          <w:b w:val="0"/>
          <w:sz w:val="22"/>
          <w:szCs w:val="22"/>
        </w:rPr>
        <w:t>5,</w:t>
      </w:r>
      <w:r w:rsidR="00D12746">
        <w:rPr>
          <w:rFonts w:ascii="Times New Roman" w:hAnsi="Times New Roman"/>
          <w:b w:val="0"/>
          <w:sz w:val="22"/>
          <w:szCs w:val="22"/>
        </w:rPr>
        <w:t xml:space="preserve"> </w:t>
      </w:r>
      <w:r w:rsidR="00E934AE" w:rsidRPr="00E934AE">
        <w:rPr>
          <w:rFonts w:ascii="Times New Roman" w:hAnsi="Times New Roman"/>
          <w:b w:val="0"/>
          <w:sz w:val="22"/>
          <w:szCs w:val="22"/>
        </w:rPr>
        <w:t>301 00 Plzeň</w:t>
      </w:r>
    </w:p>
    <w:p w14:paraId="6419FF1C" w14:textId="4F51514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934AE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934AE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934AE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D12746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 xml:space="preserve">vložka </w:t>
      </w:r>
      <w:r w:rsidR="00E934AE">
        <w:rPr>
          <w:rFonts w:ascii="Times New Roman" w:hAnsi="Times New Roman"/>
          <w:b w:val="0"/>
          <w:sz w:val="22"/>
          <w:szCs w:val="22"/>
        </w:rPr>
        <w:t>4324</w:t>
      </w:r>
    </w:p>
    <w:p w14:paraId="545CBD79" w14:textId="070F76F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34AE" w:rsidRPr="00E934AE">
        <w:rPr>
          <w:rFonts w:ascii="Times New Roman" w:hAnsi="Times New Roman"/>
          <w:b w:val="0"/>
          <w:sz w:val="22"/>
          <w:szCs w:val="22"/>
        </w:rPr>
        <w:t>49196448</w:t>
      </w:r>
    </w:p>
    <w:p w14:paraId="04DD9ECE" w14:textId="3C2C4C3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34AE" w:rsidRPr="00E934AE">
        <w:rPr>
          <w:rFonts w:ascii="Times New Roman" w:hAnsi="Times New Roman"/>
          <w:b w:val="0"/>
          <w:sz w:val="22"/>
          <w:szCs w:val="22"/>
        </w:rPr>
        <w:t>CZ49196448</w:t>
      </w:r>
    </w:p>
    <w:p w14:paraId="45220221" w14:textId="438D8F72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100FF">
        <w:rPr>
          <w:rFonts w:ascii="Times New Roman" w:hAnsi="Times New Roman"/>
          <w:b w:val="0"/>
          <w:sz w:val="22"/>
          <w:szCs w:val="22"/>
        </w:rPr>
        <w:t>………</w:t>
      </w:r>
      <w:r w:rsidR="00E934AE" w:rsidRPr="00E934AE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0EE54FB2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100FF">
        <w:rPr>
          <w:rFonts w:ascii="Times New Roman" w:hAnsi="Times New Roman"/>
          <w:b w:val="0"/>
          <w:sz w:val="22"/>
          <w:szCs w:val="22"/>
        </w:rPr>
        <w:t>…………………..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A3F4497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>Nákup</w:t>
      </w:r>
      <w:r w:rsidR="0030094D">
        <w:rPr>
          <w:b/>
          <w:u w:val="single"/>
        </w:rPr>
        <w:t xml:space="preserve"> </w:t>
      </w:r>
      <w:r w:rsidR="0094338C">
        <w:rPr>
          <w:b/>
          <w:u w:val="single"/>
        </w:rPr>
        <w:t>průmyslových myček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94338C" w:rsidRPr="0094338C">
        <w:rPr>
          <w:sz w:val="22"/>
          <w:szCs w:val="22"/>
        </w:rPr>
        <w:t>T004/25V/00005967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426087D" w:rsidR="002E0AFA" w:rsidRPr="00381D0C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94338C" w:rsidRPr="00381D0C">
        <w:rPr>
          <w:b/>
          <w:sz w:val="22"/>
          <w:szCs w:val="23"/>
          <w:u w:val="single"/>
        </w:rPr>
        <w:t>1 ks podpultová myčka s podstavcem, 1 ks průchozí myčka</w:t>
      </w:r>
      <w:r w:rsidR="00381D0C" w:rsidRPr="00381D0C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08EA5F23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</w:t>
      </w:r>
      <w:r w:rsidR="0030094D">
        <w:rPr>
          <w:sz w:val="22"/>
          <w:szCs w:val="22"/>
        </w:rPr>
        <w:t xml:space="preserve">kompletní montáž, </w:t>
      </w:r>
      <w:r w:rsidR="0094338C" w:rsidRPr="00AB1C93">
        <w:t>zaškolení zaměstnanců</w:t>
      </w:r>
      <w:r w:rsidR="0094338C">
        <w:t xml:space="preserve"> </w:t>
      </w:r>
      <w:r w:rsidR="0094338C" w:rsidRPr="00AB1C93">
        <w:t>k</w:t>
      </w:r>
      <w:r w:rsidR="0094338C">
        <w:t> </w:t>
      </w:r>
      <w:r w:rsidR="0094338C" w:rsidRPr="00AB1C93">
        <w:t>obsluze</w:t>
      </w:r>
      <w:r w:rsidR="0094338C">
        <w:rPr>
          <w:rFonts w:eastAsia="Times New Roman"/>
          <w:sz w:val="23"/>
          <w:szCs w:val="23"/>
        </w:rPr>
        <w:t xml:space="preserve">,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02AB588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musí splňovat požadavky na bezpečný výrobek ve smyslu zákona č. </w:t>
      </w:r>
      <w:r w:rsidR="00580168">
        <w:rPr>
          <w:sz w:val="22"/>
          <w:szCs w:val="22"/>
        </w:rPr>
        <w:t>387</w:t>
      </w:r>
      <w:r w:rsidR="00E62CF5" w:rsidRPr="002E0AFA">
        <w:rPr>
          <w:sz w:val="22"/>
          <w:szCs w:val="22"/>
        </w:rPr>
        <w:t>/2</w:t>
      </w:r>
      <w:r w:rsidR="00580168">
        <w:rPr>
          <w:sz w:val="22"/>
          <w:szCs w:val="22"/>
        </w:rPr>
        <w:t>024</w:t>
      </w:r>
      <w:r w:rsidR="00E62CF5" w:rsidRPr="002E0AFA">
        <w:rPr>
          <w:sz w:val="22"/>
          <w:szCs w:val="22"/>
        </w:rPr>
        <w:t xml:space="preserve">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AC0FA97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BB49B5">
        <w:rPr>
          <w:rFonts w:eastAsia="Calibri"/>
          <w:b/>
          <w:bCs/>
          <w:sz w:val="22"/>
          <w:szCs w:val="22"/>
        </w:rPr>
        <w:t xml:space="preserve">do </w:t>
      </w:r>
      <w:r w:rsidR="0094338C">
        <w:rPr>
          <w:rFonts w:eastAsia="Calibri"/>
          <w:b/>
          <w:bCs/>
          <w:sz w:val="22"/>
          <w:szCs w:val="22"/>
        </w:rPr>
        <w:t>2 měsíců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0D043C">
        <w:rPr>
          <w:rFonts w:eastAsia="Calibri"/>
          <w:b/>
          <w:bCs/>
          <w:sz w:val="22"/>
          <w:szCs w:val="22"/>
        </w:rPr>
        <w:t>uzavření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F797562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934AE" w:rsidRPr="00E934AE">
        <w:rPr>
          <w:b/>
          <w:sz w:val="22"/>
          <w:szCs w:val="22"/>
        </w:rPr>
        <w:t>142 890,00</w:t>
      </w:r>
      <w:r w:rsidR="00E934AE">
        <w:rPr>
          <w:b/>
          <w:sz w:val="22"/>
          <w:szCs w:val="22"/>
        </w:rPr>
        <w:t xml:space="preserve">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E934AE">
        <w:rPr>
          <w:sz w:val="22"/>
          <w:szCs w:val="22"/>
        </w:rPr>
        <w:br/>
      </w:r>
      <w:r w:rsidR="00E934AE" w:rsidRPr="00E934AE">
        <w:rPr>
          <w:sz w:val="22"/>
          <w:szCs w:val="22"/>
        </w:rPr>
        <w:t>30 006,90 Kč</w:t>
      </w:r>
      <w:r w:rsidR="00E934AE">
        <w:rPr>
          <w:sz w:val="22"/>
          <w:szCs w:val="22"/>
        </w:rPr>
        <w:t xml:space="preserve"> </w:t>
      </w:r>
      <w:r w:rsidRPr="008F0397">
        <w:rPr>
          <w:sz w:val="22"/>
          <w:szCs w:val="22"/>
        </w:rPr>
        <w:t xml:space="preserve">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934AE" w:rsidRPr="00E934AE">
        <w:rPr>
          <w:b/>
          <w:sz w:val="22"/>
          <w:szCs w:val="22"/>
        </w:rPr>
        <w:t>172 896,90</w:t>
      </w:r>
      <w:r w:rsidR="00E934AE">
        <w:rPr>
          <w:b/>
          <w:sz w:val="22"/>
          <w:szCs w:val="22"/>
        </w:rPr>
        <w:t xml:space="preserve"> </w:t>
      </w:r>
      <w:r w:rsidR="002E0AFA">
        <w:rPr>
          <w:b/>
          <w:sz w:val="22"/>
          <w:szCs w:val="22"/>
        </w:rPr>
        <w:t>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45D37F3E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 xml:space="preserve">v délce </w:t>
      </w:r>
      <w:r w:rsidR="001E4D7A">
        <w:rPr>
          <w:rFonts w:ascii="Times New Roman" w:hAnsi="Times New Roman"/>
          <w:color w:val="auto"/>
          <w:sz w:val="22"/>
          <w:szCs w:val="22"/>
        </w:rPr>
        <w:t>60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1E4D7A">
        <w:rPr>
          <w:rFonts w:ascii="Times New Roman" w:hAnsi="Times New Roman"/>
          <w:color w:val="auto"/>
          <w:sz w:val="22"/>
          <w:szCs w:val="22"/>
        </w:rPr>
        <w:t xml:space="preserve"> (5 let)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83870">
        <w:rPr>
          <w:rFonts w:ascii="Times New Roman" w:hAnsi="Times New Roman"/>
          <w:b w:val="0"/>
          <w:color w:val="auto"/>
          <w:sz w:val="22"/>
          <w:szCs w:val="22"/>
        </w:rPr>
        <w:t xml:space="preserve">Dále se prodávající zavazuje poskytnout kupujícímu pozáruční servis v délce min. 10 let.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>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E49EA22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E934AE" w:rsidRPr="00E934AE">
        <w:rPr>
          <w:rFonts w:ascii="Times New Roman" w:hAnsi="Times New Roman"/>
          <w:b w:val="0"/>
          <w:sz w:val="22"/>
          <w:szCs w:val="22"/>
        </w:rPr>
        <w:t>studnickova@dsdprofi.cz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299BD4E0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 xml:space="preserve">Specifikace předmětu plnění </w:t>
      </w:r>
      <w:r w:rsidR="00037CDB">
        <w:rPr>
          <w:noProof/>
          <w:color w:val="000000" w:themeColor="text1"/>
          <w:sz w:val="22"/>
          <w:szCs w:val="22"/>
        </w:rPr>
        <w:t xml:space="preserve">vč. </w:t>
      </w:r>
      <w:r w:rsidRPr="007D54F6">
        <w:rPr>
          <w:noProof/>
          <w:color w:val="000000" w:themeColor="text1"/>
          <w:sz w:val="22"/>
          <w:szCs w:val="22"/>
        </w:rPr>
        <w:t>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6681396B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C100FF">
        <w:rPr>
          <w:color w:val="000000"/>
          <w:sz w:val="22"/>
          <w:szCs w:val="22"/>
        </w:rPr>
        <w:t>13.5.2025</w:t>
      </w:r>
      <w:r w:rsidR="00C100FF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E934AE">
        <w:rPr>
          <w:color w:val="000000"/>
          <w:sz w:val="22"/>
          <w:szCs w:val="22"/>
        </w:rPr>
        <w:t> Plzni,</w:t>
      </w:r>
      <w:r w:rsidRPr="007D54F6">
        <w:rPr>
          <w:color w:val="000000"/>
          <w:sz w:val="22"/>
          <w:szCs w:val="22"/>
        </w:rPr>
        <w:t xml:space="preserve"> dne </w:t>
      </w:r>
      <w:r w:rsidR="00C100FF">
        <w:rPr>
          <w:color w:val="000000"/>
          <w:sz w:val="22"/>
          <w:szCs w:val="22"/>
        </w:rPr>
        <w:t>12.5.2025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5BDA3299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E934AE">
        <w:rPr>
          <w:color w:val="000000"/>
          <w:sz w:val="22"/>
          <w:szCs w:val="22"/>
        </w:rPr>
        <w:tab/>
        <w:t xml:space="preserve">   jednatel</w:t>
      </w:r>
      <w:r w:rsidRPr="007D54F6">
        <w:rPr>
          <w:color w:val="000000"/>
          <w:sz w:val="22"/>
          <w:szCs w:val="22"/>
        </w:rPr>
        <w:tab/>
      </w:r>
    </w:p>
    <w:p w14:paraId="2F391DFB" w14:textId="57F6424F" w:rsidR="00583CC5" w:rsidRDefault="00583CC5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E934AE">
        <w:rPr>
          <w:color w:val="000000"/>
          <w:sz w:val="22"/>
          <w:szCs w:val="22"/>
        </w:rPr>
        <w:tab/>
      </w:r>
      <w:r w:rsidR="00E934AE">
        <w:rPr>
          <w:color w:val="000000"/>
          <w:sz w:val="22"/>
          <w:szCs w:val="22"/>
        </w:rPr>
        <w:tab/>
        <w:t xml:space="preserve">       DSD PROFI s.r.o.</w:t>
      </w:r>
      <w:r w:rsidRPr="007D54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ab/>
        <w:t xml:space="preserve">     </w:t>
      </w:r>
    </w:p>
    <w:p w14:paraId="1D5ABF98" w14:textId="3D74FD77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4C2C9080" w14:textId="64B06945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5EC3760C" w14:textId="0B949F7A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5FB6BB1F" w14:textId="0035901F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21E6B268" w14:textId="2A56FBA7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61EF765" w14:textId="77777777" w:rsidR="008C433A" w:rsidRPr="0050082E" w:rsidRDefault="008C433A" w:rsidP="008C433A">
      <w:pPr>
        <w:rPr>
          <w:b/>
          <w:i/>
          <w:sz w:val="26"/>
          <w:szCs w:val="26"/>
        </w:rPr>
      </w:pPr>
      <w:r w:rsidRPr="00037CDB">
        <w:rPr>
          <w:b/>
        </w:rPr>
        <w:lastRenderedPageBreak/>
        <w:t>Příloha č. 1 - Specifikace předmětu plnění vč. nabídkové ceny</w:t>
      </w:r>
      <w:r w:rsidRPr="00AB1C93">
        <w:rPr>
          <w:b/>
          <w:i/>
          <w:sz w:val="28"/>
          <w:szCs w:val="28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  <w:r w:rsidRPr="002C6986">
        <w:rPr>
          <w:b/>
          <w:i/>
          <w:sz w:val="26"/>
          <w:szCs w:val="26"/>
        </w:rPr>
        <w:tab/>
      </w:r>
    </w:p>
    <w:p w14:paraId="5D05A8D8" w14:textId="77777777" w:rsidR="008C433A" w:rsidRDefault="008C433A" w:rsidP="008C433A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14:paraId="3D2B476D" w14:textId="77777777" w:rsidR="008C433A" w:rsidRPr="00037CDB" w:rsidRDefault="008C433A" w:rsidP="008C433A">
      <w:pPr>
        <w:autoSpaceDE w:val="0"/>
        <w:autoSpaceDN w:val="0"/>
        <w:adjustRightInd w:val="0"/>
        <w:rPr>
          <w:b/>
          <w:bCs/>
          <w:color w:val="000000"/>
        </w:rPr>
      </w:pPr>
      <w:r w:rsidRPr="00037CDB">
        <w:rPr>
          <w:b/>
          <w:bCs/>
          <w:color w:val="000000"/>
        </w:rPr>
        <w:t xml:space="preserve">Podpultová myčka nádobí s podstavcem___________________1 ks    </w:t>
      </w:r>
    </w:p>
    <w:p w14:paraId="405FFC16" w14:textId="77777777" w:rsidR="008C433A" w:rsidRPr="00D528AC" w:rsidRDefault="008C433A" w:rsidP="008C433A">
      <w:pPr>
        <w:numPr>
          <w:ilvl w:val="0"/>
          <w:numId w:val="38"/>
        </w:numPr>
        <w:spacing w:before="100" w:beforeAutospacing="1" w:after="120"/>
        <w:rPr>
          <w:sz w:val="22"/>
          <w:szCs w:val="22"/>
        </w:rPr>
      </w:pPr>
      <w:r w:rsidRPr="00D528AC">
        <w:rPr>
          <w:sz w:val="22"/>
          <w:szCs w:val="22"/>
        </w:rPr>
        <w:t>Samočistící program</w:t>
      </w:r>
    </w:p>
    <w:p w14:paraId="3D56A984" w14:textId="77777777" w:rsidR="008C433A" w:rsidRPr="00D528AC" w:rsidRDefault="008C433A" w:rsidP="008C433A">
      <w:pPr>
        <w:numPr>
          <w:ilvl w:val="0"/>
          <w:numId w:val="38"/>
        </w:numPr>
        <w:spacing w:before="100" w:beforeAutospacing="1" w:after="120"/>
        <w:rPr>
          <w:sz w:val="22"/>
          <w:szCs w:val="22"/>
        </w:rPr>
      </w:pPr>
      <w:r w:rsidRPr="00D528AC">
        <w:rPr>
          <w:sz w:val="22"/>
          <w:szCs w:val="22"/>
        </w:rPr>
        <w:t>Ochrana proti průniku vody</w:t>
      </w:r>
    </w:p>
    <w:p w14:paraId="40B1F868" w14:textId="77777777" w:rsidR="008C433A" w:rsidRPr="001D6716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 w:rsidRPr="001D6716">
        <w:rPr>
          <w:rFonts w:eastAsia="ArialMT-Identity-H" w:cs="ArialMT-Identity-H"/>
          <w:sz w:val="22"/>
          <w:szCs w:val="22"/>
        </w:rPr>
        <w:t>Zabudovaný dávkovač mycího a oplachového prostředku</w:t>
      </w:r>
    </w:p>
    <w:p w14:paraId="06938441" w14:textId="77777777" w:rsidR="008C433A" w:rsidRPr="001D6716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 w:rsidRPr="001D6716">
        <w:rPr>
          <w:rFonts w:eastAsia="ArialMT-Identity-H" w:cs="ArialMT-Identity-H"/>
          <w:sz w:val="22"/>
          <w:szCs w:val="22"/>
        </w:rPr>
        <w:t>Třífázové nebo jednofázové připojení s možností přeměny na místě</w:t>
      </w:r>
    </w:p>
    <w:p w14:paraId="64455640" w14:textId="77777777" w:rsidR="008C433A" w:rsidRPr="001D6716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 w:rsidRPr="001D6716">
        <w:rPr>
          <w:rFonts w:eastAsia="ArialMT-Identity-H"/>
          <w:sz w:val="22"/>
          <w:szCs w:val="22"/>
        </w:rPr>
        <w:t>Zabudovaný tlakový bojler</w:t>
      </w:r>
    </w:p>
    <w:p w14:paraId="530ACEA2" w14:textId="0856D119" w:rsidR="008C433A" w:rsidRPr="001D6716" w:rsidRDefault="008C433A" w:rsidP="008C433A">
      <w:pPr>
        <w:pStyle w:val="Standard"/>
        <w:numPr>
          <w:ilvl w:val="0"/>
          <w:numId w:val="38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 w:rsidRPr="001D6716">
        <w:rPr>
          <w:rFonts w:eastAsia="ElectroluxSans-Regular" w:cs="Times New Roman"/>
          <w:kern w:val="0"/>
          <w:sz w:val="22"/>
          <w:szCs w:val="22"/>
          <w:lang w:bidi="ar-SA"/>
        </w:rPr>
        <w:t xml:space="preserve">Zabudované </w:t>
      </w:r>
      <w:r w:rsidR="001D6716">
        <w:rPr>
          <w:rFonts w:eastAsia="ElectroluxSans-Regular" w:cs="Times New Roman"/>
          <w:kern w:val="0"/>
          <w:sz w:val="22"/>
          <w:szCs w:val="22"/>
          <w:lang w:bidi="ar-SA"/>
        </w:rPr>
        <w:t xml:space="preserve">odpadní </w:t>
      </w:r>
      <w:r w:rsidRPr="001D6716">
        <w:rPr>
          <w:rFonts w:eastAsia="ElectroluxSans-Regular" w:cs="Times New Roman"/>
          <w:kern w:val="0"/>
          <w:sz w:val="22"/>
          <w:szCs w:val="22"/>
          <w:lang w:bidi="ar-SA"/>
        </w:rPr>
        <w:t>čerpadlo</w:t>
      </w:r>
    </w:p>
    <w:p w14:paraId="60A60094" w14:textId="77777777" w:rsidR="008C433A" w:rsidRPr="004F387E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>
        <w:rPr>
          <w:rFonts w:eastAsia="ArialMT-Identity-H"/>
          <w:sz w:val="22"/>
          <w:szCs w:val="22"/>
        </w:rPr>
        <w:t>Otočná integrovaná mycí a oplachová ramena</w:t>
      </w:r>
    </w:p>
    <w:p w14:paraId="5B7124E6" w14:textId="77777777" w:rsidR="008C433A" w:rsidRPr="004F387E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>
        <w:rPr>
          <w:rFonts w:eastAsia="ArialMT-Identity-H"/>
          <w:sz w:val="22"/>
          <w:szCs w:val="22"/>
        </w:rPr>
        <w:t>Jednoduchý servisní přístup</w:t>
      </w:r>
    </w:p>
    <w:p w14:paraId="1EA1846B" w14:textId="048850CC" w:rsidR="008C433A" w:rsidRDefault="008C433A" w:rsidP="008C433A">
      <w:pPr>
        <w:pStyle w:val="Standard"/>
        <w:numPr>
          <w:ilvl w:val="0"/>
          <w:numId w:val="38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>
        <w:rPr>
          <w:rFonts w:eastAsia="ArialMT-Identity-H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A7F7F7" wp14:editId="02A8105C">
            <wp:simplePos x="0" y="0"/>
            <wp:positionH relativeFrom="column">
              <wp:posOffset>4260850</wp:posOffset>
            </wp:positionH>
            <wp:positionV relativeFrom="paragraph">
              <wp:posOffset>47625</wp:posOffset>
            </wp:positionV>
            <wp:extent cx="2133600" cy="2901315"/>
            <wp:effectExtent l="0" t="0" r="0" b="0"/>
            <wp:wrapTight wrapText="bothSides">
              <wp:wrapPolygon edited="0">
                <wp:start x="0" y="0"/>
                <wp:lineTo x="0" y="21416"/>
                <wp:lineTo x="21407" y="21416"/>
                <wp:lineTo x="2140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0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MT-Identity-H" w:cs="Times New Roman"/>
          <w:sz w:val="22"/>
          <w:szCs w:val="22"/>
        </w:rPr>
        <w:t xml:space="preserve">Vhodná pro koše </w:t>
      </w:r>
      <w:r w:rsidRPr="00FE4D3E">
        <w:rPr>
          <w:rFonts w:eastAsia="ArialMT-Identity-H" w:cs="Times New Roman"/>
          <w:b/>
          <w:bCs/>
          <w:sz w:val="22"/>
          <w:szCs w:val="22"/>
        </w:rPr>
        <w:t>500 x 500 mm</w:t>
      </w:r>
    </w:p>
    <w:p w14:paraId="3561AFD3" w14:textId="77777777" w:rsidR="008C433A" w:rsidRPr="008E2051" w:rsidRDefault="008C433A" w:rsidP="008C433A">
      <w:pPr>
        <w:pStyle w:val="Standard"/>
        <w:numPr>
          <w:ilvl w:val="0"/>
          <w:numId w:val="38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rFonts w:eastAsia="ArialMT-Identity-H" w:cs="Times New Roman"/>
          <w:b/>
          <w:bCs/>
          <w:sz w:val="22"/>
          <w:szCs w:val="22"/>
        </w:rPr>
        <w:t>Kapacita:</w:t>
      </w:r>
      <w:r w:rsidRPr="008E2051">
        <w:rPr>
          <w:rFonts w:eastAsia="ArialMT-Identity-H" w:cs="Times New Roman"/>
          <w:sz w:val="22"/>
          <w:szCs w:val="22"/>
        </w:rPr>
        <w:t xml:space="preserve"> až 1170 talířů/65 košů/ho</w:t>
      </w:r>
      <w:r>
        <w:rPr>
          <w:rFonts w:eastAsia="ArialMT-Identity-H" w:cs="Times New Roman"/>
          <w:sz w:val="22"/>
          <w:szCs w:val="22"/>
        </w:rPr>
        <w:t>d</w:t>
      </w:r>
    </w:p>
    <w:p w14:paraId="7FA2F8E8" w14:textId="77777777" w:rsidR="008C433A" w:rsidRPr="00744410" w:rsidRDefault="008C433A" w:rsidP="008C433A">
      <w:pPr>
        <w:numPr>
          <w:ilvl w:val="0"/>
          <w:numId w:val="38"/>
        </w:numPr>
        <w:spacing w:before="100" w:beforeAutospacing="1" w:after="120"/>
        <w:rPr>
          <w:b/>
          <w:bCs/>
          <w:sz w:val="22"/>
          <w:szCs w:val="22"/>
        </w:rPr>
      </w:pPr>
      <w:r w:rsidRPr="00744410">
        <w:rPr>
          <w:sz w:val="22"/>
          <w:szCs w:val="22"/>
        </w:rPr>
        <w:t>Hladké povrhy usnadňující čištění</w:t>
      </w:r>
    </w:p>
    <w:p w14:paraId="2A33D285" w14:textId="77777777" w:rsidR="008C433A" w:rsidRDefault="008C433A" w:rsidP="008C433A">
      <w:pPr>
        <w:numPr>
          <w:ilvl w:val="0"/>
          <w:numId w:val="39"/>
        </w:numPr>
        <w:spacing w:before="100" w:beforeAutospacing="1" w:after="120" w:line="276" w:lineRule="auto"/>
        <w:rPr>
          <w:sz w:val="22"/>
          <w:szCs w:val="22"/>
        </w:rPr>
      </w:pPr>
      <w:r w:rsidRPr="00744410">
        <w:rPr>
          <w:b/>
          <w:bCs/>
          <w:sz w:val="22"/>
          <w:szCs w:val="22"/>
        </w:rPr>
        <w:t>Materiál:</w:t>
      </w:r>
      <w:r>
        <w:rPr>
          <w:sz w:val="22"/>
          <w:szCs w:val="22"/>
        </w:rPr>
        <w:t xml:space="preserve"> nerezavějící ocel AISI 304</w:t>
      </w:r>
    </w:p>
    <w:p w14:paraId="21200412" w14:textId="77777777" w:rsidR="008C433A" w:rsidRPr="00D528AC" w:rsidRDefault="008C433A" w:rsidP="008C433A">
      <w:pPr>
        <w:numPr>
          <w:ilvl w:val="0"/>
          <w:numId w:val="39"/>
        </w:numPr>
        <w:spacing w:before="100" w:beforeAutospacing="1" w:after="120" w:line="276" w:lineRule="auto"/>
        <w:rPr>
          <w:sz w:val="22"/>
          <w:szCs w:val="22"/>
        </w:rPr>
      </w:pPr>
      <w:proofErr w:type="spellStart"/>
      <w:r w:rsidRPr="00D528AC">
        <w:rPr>
          <w:rFonts w:eastAsia="ElectroluxSans-Regular"/>
          <w:sz w:val="22"/>
          <w:szCs w:val="22"/>
        </w:rPr>
        <w:t>Topnice</w:t>
      </w:r>
      <w:proofErr w:type="spellEnd"/>
      <w:r w:rsidRPr="00D528AC">
        <w:rPr>
          <w:rFonts w:eastAsia="ElectroluxSans-Regular"/>
          <w:sz w:val="22"/>
          <w:szCs w:val="22"/>
        </w:rPr>
        <w:t xml:space="preserve"> s ochranou proti přehřátí při nízké hladině vody</w:t>
      </w:r>
    </w:p>
    <w:p w14:paraId="6448F284" w14:textId="77777777" w:rsidR="008C433A" w:rsidRPr="0001008A" w:rsidRDefault="008C433A" w:rsidP="008C433A">
      <w:pPr>
        <w:numPr>
          <w:ilvl w:val="0"/>
          <w:numId w:val="39"/>
        </w:numPr>
        <w:spacing w:before="100" w:beforeAutospacing="1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Funkce vypouštění bojleru</w:t>
      </w:r>
    </w:p>
    <w:p w14:paraId="5D8C92D5" w14:textId="77777777" w:rsidR="008C433A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>
        <w:rPr>
          <w:rFonts w:eastAsia="ArialMT-Identity-H" w:cs="Times New Roman"/>
          <w:sz w:val="22"/>
          <w:szCs w:val="22"/>
        </w:rPr>
        <w:t>Dvouplášťové izolované dveře</w:t>
      </w:r>
    </w:p>
    <w:p w14:paraId="74E9F042" w14:textId="77777777" w:rsidR="008C433A" w:rsidRPr="00002613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>
        <w:rPr>
          <w:rFonts w:eastAsia="ArialMT-Identity-H" w:cs="Times New Roman"/>
          <w:sz w:val="22"/>
          <w:szCs w:val="22"/>
        </w:rPr>
        <w:t>Sanitace horkou vodou</w:t>
      </w:r>
    </w:p>
    <w:p w14:paraId="4DB30FFB" w14:textId="77777777" w:rsidR="008C433A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>
        <w:rPr>
          <w:rFonts w:eastAsia="ArialMT-Identity-H" w:cs="Times New Roman"/>
          <w:sz w:val="22"/>
          <w:szCs w:val="22"/>
        </w:rPr>
        <w:t xml:space="preserve">Výkonné mycí čerpadlo, velkokapacitní mycí nádrž, horní a spodní integrovaná mycí a oplachová otočná </w:t>
      </w:r>
      <w:proofErr w:type="spellStart"/>
      <w:r>
        <w:rPr>
          <w:rFonts w:eastAsia="ArialMT-Identity-H" w:cs="Times New Roman"/>
          <w:sz w:val="22"/>
          <w:szCs w:val="22"/>
        </w:rPr>
        <w:t>ostřikovací</w:t>
      </w:r>
      <w:proofErr w:type="spellEnd"/>
      <w:r>
        <w:rPr>
          <w:rFonts w:eastAsia="ArialMT-Identity-H" w:cs="Times New Roman"/>
          <w:sz w:val="22"/>
          <w:szCs w:val="22"/>
        </w:rPr>
        <w:t xml:space="preserve"> ramena z kompozitního materiálu</w:t>
      </w:r>
    </w:p>
    <w:p w14:paraId="697901B3" w14:textId="76B0C3D7" w:rsidR="008C433A" w:rsidRPr="00AB1C93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24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E0B6C5" wp14:editId="5CF9D016">
                <wp:simplePos x="0" y="0"/>
                <wp:positionH relativeFrom="column">
                  <wp:posOffset>4745990</wp:posOffset>
                </wp:positionH>
                <wp:positionV relativeFrom="paragraph">
                  <wp:posOffset>117475</wp:posOffset>
                </wp:positionV>
                <wp:extent cx="1283970" cy="289560"/>
                <wp:effectExtent l="0" t="0" r="4445" b="63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882A" w14:textId="77777777" w:rsidR="008C433A" w:rsidRDefault="008C433A" w:rsidP="008C433A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B6C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73.7pt;margin-top:9.25pt;width:101.1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" stroked="f">
                <v:textbox>
                  <w:txbxContent>
                    <w:p w14:paraId="613A882A" w14:textId="77777777" w:rsidR="008C433A" w:rsidRDefault="008C433A" w:rsidP="008C433A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2051">
        <w:rPr>
          <w:rFonts w:eastAsia="ElectroluxSans-Regular" w:cs="Times New Roman"/>
          <w:kern w:val="0"/>
          <w:sz w:val="22"/>
          <w:szCs w:val="22"/>
          <w:lang w:bidi="ar-SA"/>
        </w:rPr>
        <w:t>Dva předem nastavené automatické cykly pro různé druhy nádobí, konfigurovatelné na místě</w:t>
      </w:r>
    </w:p>
    <w:p w14:paraId="624310FC" w14:textId="77777777" w:rsidR="008C433A" w:rsidRPr="00D01FBC" w:rsidRDefault="008C433A" w:rsidP="008C433A">
      <w:pPr>
        <w:pStyle w:val="Standard"/>
        <w:autoSpaceDE w:val="0"/>
        <w:spacing w:after="120"/>
        <w:jc w:val="both"/>
        <w:rPr>
          <w:rFonts w:eastAsia="ArialMT-Identity-H" w:cs="Times New Roman"/>
          <w:b/>
          <w:bCs/>
          <w:i/>
          <w:iCs/>
        </w:rPr>
      </w:pPr>
      <w:r w:rsidRPr="00D01FBC">
        <w:rPr>
          <w:rFonts w:eastAsia="ArialMT-Identity-H" w:cs="Times New Roman"/>
          <w:b/>
          <w:bCs/>
          <w:i/>
          <w:iCs/>
        </w:rPr>
        <w:t>Technická data</w:t>
      </w:r>
      <w:r>
        <w:rPr>
          <w:rFonts w:eastAsia="ArialMT-Identity-H" w:cs="Times New Roman"/>
          <w:b/>
          <w:bCs/>
          <w:i/>
          <w:iCs/>
        </w:rPr>
        <w:t>:</w:t>
      </w:r>
    </w:p>
    <w:p w14:paraId="41EF6F09" w14:textId="77777777" w:rsidR="008C433A" w:rsidRPr="008E2051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rFonts w:eastAsia="ArialMT-Identity-H" w:cs="Times New Roman"/>
          <w:b/>
          <w:bCs/>
          <w:sz w:val="22"/>
          <w:szCs w:val="22"/>
        </w:rPr>
        <w:t>Napětí:</w:t>
      </w:r>
      <w:r w:rsidRPr="008E2051">
        <w:rPr>
          <w:rFonts w:eastAsia="ArialMT-Identity-H" w:cs="Times New Roman"/>
          <w:sz w:val="22"/>
          <w:szCs w:val="22"/>
        </w:rPr>
        <w:t xml:space="preserve"> 400 V s možností změny zapojení na 230 V</w:t>
      </w:r>
    </w:p>
    <w:p w14:paraId="19837DCB" w14:textId="77777777" w:rsidR="008C433A" w:rsidRPr="0050082E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24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rFonts w:eastAsia="ArialMT-Identity-H" w:cs="Times New Roman"/>
          <w:b/>
          <w:bCs/>
          <w:sz w:val="22"/>
          <w:szCs w:val="22"/>
        </w:rPr>
        <w:t>Max. příkon:</w:t>
      </w:r>
      <w:r w:rsidRPr="008E2051">
        <w:rPr>
          <w:rFonts w:eastAsia="ArialMT-Identity-H" w:cs="Times New Roman"/>
          <w:sz w:val="22"/>
          <w:szCs w:val="22"/>
        </w:rPr>
        <w:t xml:space="preserve"> 5 kW</w:t>
      </w:r>
    </w:p>
    <w:p w14:paraId="647DA032" w14:textId="77777777" w:rsidR="008C433A" w:rsidRPr="00D01FBC" w:rsidRDefault="008C433A" w:rsidP="008C433A">
      <w:pPr>
        <w:pStyle w:val="Standard"/>
        <w:autoSpaceDE w:val="0"/>
        <w:spacing w:after="240"/>
        <w:rPr>
          <w:rFonts w:eastAsia="ArialMT-Identity-H" w:cs="Times New Roman"/>
          <w:b/>
          <w:bCs/>
          <w:i/>
          <w:iCs/>
        </w:rPr>
      </w:pPr>
      <w:r>
        <w:rPr>
          <w:rFonts w:eastAsia="ArialMT-Identity-H" w:cs="Times New Roman"/>
          <w:b/>
          <w:bCs/>
          <w:i/>
          <w:iCs/>
        </w:rPr>
        <w:t>Příslušenství:</w:t>
      </w:r>
    </w:p>
    <w:p w14:paraId="42779AFF" w14:textId="77777777" w:rsidR="008C433A" w:rsidRPr="00D01FBC" w:rsidRDefault="008C433A" w:rsidP="008C433A">
      <w:pPr>
        <w:pStyle w:val="Standard"/>
        <w:numPr>
          <w:ilvl w:val="1"/>
          <w:numId w:val="41"/>
        </w:numPr>
        <w:autoSpaceDE w:val="0"/>
        <w:ind w:left="709"/>
        <w:rPr>
          <w:rFonts w:eastAsia="ArialMT-Identity-H" w:cs="Times New Roman"/>
          <w:color w:val="FF0000"/>
          <w:sz w:val="22"/>
          <w:szCs w:val="22"/>
        </w:rPr>
      </w:pPr>
      <w:r w:rsidRPr="00D01FBC">
        <w:rPr>
          <w:rFonts w:eastAsia="ArialMT-Identity-H" w:cs="Times New Roman"/>
          <w:color w:val="FF0000"/>
          <w:sz w:val="22"/>
          <w:szCs w:val="22"/>
        </w:rPr>
        <w:t>1x nerezový podstavec AISI304 pro podpultovou myčku nádobí - výška min. 450 mm</w:t>
      </w:r>
    </w:p>
    <w:p w14:paraId="0181F3A5" w14:textId="77777777" w:rsidR="008C433A" w:rsidRDefault="008C433A" w:rsidP="008C433A">
      <w:pPr>
        <w:pStyle w:val="Standard"/>
        <w:numPr>
          <w:ilvl w:val="1"/>
          <w:numId w:val="41"/>
        </w:numPr>
        <w:autoSpaceDE w:val="0"/>
        <w:ind w:left="709"/>
        <w:rPr>
          <w:rFonts w:eastAsia="ArialMT-Identity-H" w:cs="Times New Roman"/>
          <w:b/>
          <w:bCs/>
          <w:color w:val="FF0000"/>
          <w:sz w:val="22"/>
          <w:szCs w:val="22"/>
        </w:rPr>
      </w:pPr>
      <w:r w:rsidRPr="00D01FBC">
        <w:rPr>
          <w:rFonts w:eastAsia="ArialMT-Identity-H" w:cs="Times New Roman"/>
          <w:sz w:val="22"/>
          <w:szCs w:val="22"/>
        </w:rPr>
        <w:t>1x košíček na příbory</w:t>
      </w:r>
    </w:p>
    <w:p w14:paraId="716CAD99" w14:textId="77777777" w:rsidR="008C433A" w:rsidRPr="0050082E" w:rsidRDefault="008C433A" w:rsidP="008C433A">
      <w:pPr>
        <w:pStyle w:val="Standard"/>
        <w:numPr>
          <w:ilvl w:val="1"/>
          <w:numId w:val="41"/>
        </w:numPr>
        <w:autoSpaceDE w:val="0"/>
        <w:spacing w:after="240"/>
        <w:ind w:left="709"/>
        <w:rPr>
          <w:rFonts w:eastAsia="ArialMT-Identity-H" w:cs="Times New Roman"/>
          <w:b/>
          <w:bCs/>
          <w:color w:val="FF0000"/>
          <w:sz w:val="22"/>
          <w:szCs w:val="22"/>
        </w:rPr>
      </w:pPr>
      <w:r w:rsidRPr="00D01FBC">
        <w:rPr>
          <w:rFonts w:eastAsia="ArialMT-Identity-H" w:cs="Times New Roman"/>
          <w:sz w:val="22"/>
          <w:szCs w:val="22"/>
        </w:rPr>
        <w:t>1x koš na talíře</w:t>
      </w:r>
    </w:p>
    <w:p w14:paraId="714CAA4F" w14:textId="77777777" w:rsidR="008C433A" w:rsidRDefault="008C433A" w:rsidP="008C433A">
      <w:pPr>
        <w:pStyle w:val="Standard"/>
        <w:autoSpaceDE w:val="0"/>
        <w:spacing w:after="240"/>
        <w:rPr>
          <w:rFonts w:eastAsia="ArialMT-Identity-H" w:cs="Times New Roman"/>
          <w:b/>
          <w:bCs/>
          <w:i/>
          <w:iCs/>
        </w:rPr>
      </w:pPr>
      <w:r w:rsidRPr="00D01FBC">
        <w:rPr>
          <w:rFonts w:eastAsia="ArialMT-Identity-H" w:cs="Times New Roman"/>
          <w:b/>
          <w:bCs/>
          <w:i/>
          <w:iCs/>
        </w:rPr>
        <w:t>Rozměry</w:t>
      </w:r>
    </w:p>
    <w:p w14:paraId="252E9B73" w14:textId="2D0C4156" w:rsidR="008C433A" w:rsidRPr="008C433A" w:rsidRDefault="008C433A" w:rsidP="008C433A">
      <w:pPr>
        <w:pStyle w:val="Standard"/>
        <w:numPr>
          <w:ilvl w:val="0"/>
          <w:numId w:val="40"/>
        </w:numPr>
        <w:autoSpaceDE w:val="0"/>
        <w:rPr>
          <w:rFonts w:eastAsia="ArialMT-Identity-H" w:cs="Times New Roman"/>
          <w:b/>
          <w:bCs/>
          <w:i/>
          <w:iCs/>
          <w:color w:val="FF0000"/>
        </w:rPr>
      </w:pPr>
      <w:r>
        <w:rPr>
          <w:rFonts w:eastAsia="ArialMT-Identity-H" w:cs="Times New Roman"/>
          <w:b/>
          <w:bCs/>
          <w:sz w:val="22"/>
          <w:szCs w:val="22"/>
        </w:rPr>
        <w:t xml:space="preserve">Max. </w:t>
      </w:r>
      <w:r w:rsidRPr="00533E96">
        <w:rPr>
          <w:rFonts w:eastAsia="ArialMT-Identity-H" w:cs="Times New Roman"/>
          <w:b/>
          <w:bCs/>
          <w:sz w:val="22"/>
          <w:szCs w:val="22"/>
        </w:rPr>
        <w:t>rozměr myčky</w:t>
      </w:r>
      <w:r>
        <w:rPr>
          <w:rFonts w:eastAsia="ArialMT-Identity-H" w:cs="Times New Roman"/>
          <w:sz w:val="22"/>
          <w:szCs w:val="22"/>
        </w:rPr>
        <w:t xml:space="preserve"> (š x h x v)</w:t>
      </w:r>
      <w:r w:rsidRPr="008E2051">
        <w:rPr>
          <w:rFonts w:eastAsia="ArialMT-Identity-H" w:cs="Times New Roman"/>
          <w:sz w:val="22"/>
          <w:szCs w:val="22"/>
        </w:rPr>
        <w:t>:</w:t>
      </w:r>
      <w:r>
        <w:rPr>
          <w:rFonts w:eastAsia="ArialMT-Identity-H" w:cs="Times New Roman"/>
          <w:sz w:val="22"/>
          <w:szCs w:val="22"/>
        </w:rPr>
        <w:t xml:space="preserve"> </w:t>
      </w:r>
      <w:r w:rsidRPr="008E2051">
        <w:rPr>
          <w:rFonts w:eastAsia="ArialMT-Identity-H" w:cs="Times New Roman"/>
          <w:sz w:val="22"/>
          <w:szCs w:val="22"/>
        </w:rPr>
        <w:t>575 x 625 x 830 mm</w:t>
      </w:r>
    </w:p>
    <w:p w14:paraId="4A3340AE" w14:textId="77777777" w:rsidR="008C433A" w:rsidRPr="00D01FBC" w:rsidRDefault="008C433A" w:rsidP="008C433A">
      <w:pPr>
        <w:pStyle w:val="Standard"/>
        <w:autoSpaceDE w:val="0"/>
        <w:ind w:left="720"/>
        <w:rPr>
          <w:rFonts w:eastAsia="ArialMT-Identity-H" w:cs="Times New Roman"/>
          <w:b/>
          <w:bCs/>
          <w:i/>
          <w:iCs/>
          <w:color w:val="FF0000"/>
        </w:rPr>
      </w:pPr>
    </w:p>
    <w:p w14:paraId="080E6345" w14:textId="77777777" w:rsidR="008C433A" w:rsidRDefault="008C433A" w:rsidP="008C433A">
      <w:pPr>
        <w:rPr>
          <w:b/>
          <w:i/>
        </w:rPr>
      </w:pPr>
    </w:p>
    <w:p w14:paraId="2B031566" w14:textId="77777777" w:rsidR="008C433A" w:rsidRPr="00037CDB" w:rsidRDefault="008C433A" w:rsidP="008C433A">
      <w:pPr>
        <w:autoSpaceDE w:val="0"/>
        <w:autoSpaceDN w:val="0"/>
        <w:adjustRightInd w:val="0"/>
        <w:rPr>
          <w:b/>
          <w:bCs/>
          <w:color w:val="000000"/>
        </w:rPr>
      </w:pPr>
      <w:r w:rsidRPr="00037CDB">
        <w:rPr>
          <w:b/>
          <w:bCs/>
          <w:color w:val="000000"/>
        </w:rPr>
        <w:lastRenderedPageBreak/>
        <w:t xml:space="preserve">Průchozí myčka nádobí_____________________________1 ks     </w:t>
      </w:r>
    </w:p>
    <w:p w14:paraId="3058C0E6" w14:textId="77777777" w:rsidR="008C433A" w:rsidRDefault="008C433A" w:rsidP="008C433A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14:paraId="57ECFF09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Zabudovaný dávkovač mycího a oplachového prostředku</w:t>
      </w:r>
    </w:p>
    <w:p w14:paraId="3A00E10C" w14:textId="5CCE4421" w:rsidR="008C433A" w:rsidRPr="004F387E" w:rsidRDefault="008C433A" w:rsidP="008C433A">
      <w:pPr>
        <w:numPr>
          <w:ilvl w:val="0"/>
          <w:numId w:val="36"/>
        </w:numPr>
        <w:spacing w:after="120" w:line="360" w:lineRule="auto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D05697" wp14:editId="0C02A706">
            <wp:simplePos x="0" y="0"/>
            <wp:positionH relativeFrom="column">
              <wp:posOffset>4018280</wp:posOffset>
            </wp:positionH>
            <wp:positionV relativeFrom="paragraph">
              <wp:posOffset>514350</wp:posOffset>
            </wp:positionV>
            <wp:extent cx="2207895" cy="3341370"/>
            <wp:effectExtent l="0" t="0" r="1905" b="0"/>
            <wp:wrapTight wrapText="bothSides">
              <wp:wrapPolygon edited="0">
                <wp:start x="0" y="0"/>
                <wp:lineTo x="0" y="21428"/>
                <wp:lineTo x="21432" y="21428"/>
                <wp:lineTo x="2143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MT-Identity-H" w:cs="ArialMT-Identity-H"/>
          <w:sz w:val="22"/>
          <w:szCs w:val="22"/>
        </w:rPr>
        <w:t>Třífázové nebo jednofázové připojení s možností přeměny na místě</w:t>
      </w:r>
    </w:p>
    <w:p w14:paraId="4EC66EF6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>
        <w:rPr>
          <w:rFonts w:eastAsia="ArialMT-Identity-H" w:cs="ArialMT-Identity-H"/>
          <w:sz w:val="22"/>
          <w:szCs w:val="22"/>
        </w:rPr>
        <w:t>Program lze kdykoliv přerušit zvednutím poklopu</w:t>
      </w:r>
    </w:p>
    <w:p w14:paraId="2D9BB8E5" w14:textId="77777777" w:rsidR="008C433A" w:rsidRPr="003C0997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Automatické spuštění myčky při uzavření poklopu</w:t>
      </w:r>
    </w:p>
    <w:p w14:paraId="4A1107C0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proofErr w:type="spellStart"/>
      <w:r w:rsidRPr="00914451">
        <w:rPr>
          <w:rFonts w:eastAsia="ArialMT-Identity-H" w:cs="ArialMT-Identity-H"/>
          <w:sz w:val="22"/>
          <w:szCs w:val="22"/>
        </w:rPr>
        <w:t>Autodiagnostický</w:t>
      </w:r>
      <w:proofErr w:type="spellEnd"/>
      <w:r w:rsidRPr="00914451">
        <w:rPr>
          <w:rFonts w:eastAsia="ArialMT-Identity-H" w:cs="ArialMT-Identity-H"/>
          <w:sz w:val="22"/>
          <w:szCs w:val="22"/>
        </w:rPr>
        <w:t xml:space="preserve"> systém detekce závad</w:t>
      </w:r>
    </w:p>
    <w:p w14:paraId="0A63336F" w14:textId="77777777" w:rsidR="008C433A" w:rsidRPr="00823455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Elektronický ovládací panel s digitálním ukazatelem teploty mycí/oplachové vody</w:t>
      </w:r>
    </w:p>
    <w:p w14:paraId="1AB8E545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>
        <w:rPr>
          <w:rFonts w:eastAsia="ArialMT-Identity-H" w:cs="ArialMT-Identity-H"/>
          <w:sz w:val="22"/>
          <w:szCs w:val="22"/>
        </w:rPr>
        <w:t>Samočistící cyklus</w:t>
      </w:r>
    </w:p>
    <w:p w14:paraId="42404788" w14:textId="77777777" w:rsidR="008C433A" w:rsidRPr="006A5AC8" w:rsidRDefault="008C433A" w:rsidP="008C433A">
      <w:pPr>
        <w:numPr>
          <w:ilvl w:val="0"/>
          <w:numId w:val="36"/>
        </w:numPr>
        <w:spacing w:line="360" w:lineRule="auto"/>
        <w:rPr>
          <w:b/>
          <w:bCs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Funkce Soft startu mycího čerpadla</w:t>
      </w:r>
    </w:p>
    <w:p w14:paraId="3705007A" w14:textId="77777777" w:rsidR="008C433A" w:rsidRPr="00914451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Zabudovaný atmosférický bojler s oplachovým čerpadlem</w:t>
      </w:r>
    </w:p>
    <w:p w14:paraId="55F01A84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proofErr w:type="spellStart"/>
      <w:r>
        <w:rPr>
          <w:rFonts w:eastAsia="ArialMT-Identity-H" w:cs="ArialMT-Identity-H"/>
          <w:sz w:val="22"/>
          <w:szCs w:val="22"/>
        </w:rPr>
        <w:t>Samovypouštěcí</w:t>
      </w:r>
      <w:proofErr w:type="spellEnd"/>
      <w:r>
        <w:rPr>
          <w:rFonts w:eastAsia="ArialMT-Identity-H" w:cs="ArialMT-Identity-H"/>
          <w:sz w:val="22"/>
          <w:szCs w:val="22"/>
        </w:rPr>
        <w:t xml:space="preserve"> vertikální mycí čerpadlo</w:t>
      </w:r>
    </w:p>
    <w:p w14:paraId="77361DC1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Horní a dolní rotační mycí ramena</w:t>
      </w:r>
    </w:p>
    <w:p w14:paraId="72207337" w14:textId="77777777" w:rsidR="008C433A" w:rsidRPr="003C0997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sz w:val="22"/>
          <w:szCs w:val="22"/>
        </w:rPr>
      </w:pPr>
      <w:r w:rsidRPr="00914451">
        <w:rPr>
          <w:rFonts w:eastAsia="ArialMT-Identity-H" w:cs="ArialMT-Identity-H"/>
          <w:sz w:val="22"/>
          <w:szCs w:val="22"/>
        </w:rPr>
        <w:t>Možnost přímé či rohové instalace</w:t>
      </w:r>
    </w:p>
    <w:p w14:paraId="61F0F9CB" w14:textId="77777777" w:rsidR="008C433A" w:rsidRPr="00914451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Times New Roman"/>
          <w:sz w:val="22"/>
          <w:szCs w:val="22"/>
        </w:rPr>
        <w:t xml:space="preserve">Vhodná pro koše </w:t>
      </w:r>
      <w:r w:rsidRPr="00914451">
        <w:rPr>
          <w:rFonts w:eastAsia="ArialMT-Identity-H" w:cs="Times New Roman"/>
          <w:b/>
          <w:bCs/>
          <w:sz w:val="22"/>
          <w:szCs w:val="22"/>
        </w:rPr>
        <w:t>500 x 500 mm</w:t>
      </w:r>
    </w:p>
    <w:p w14:paraId="74ABC17A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ArialMT-Identity-H" w:cs="ArialMT-Identity-H"/>
          <w:sz w:val="22"/>
          <w:szCs w:val="22"/>
        </w:rPr>
      </w:pPr>
      <w:r w:rsidRPr="00914451">
        <w:rPr>
          <w:rFonts w:eastAsia="ArialMT-Identity-H" w:cs="ArialMT-Identity-H"/>
          <w:b/>
          <w:bCs/>
          <w:sz w:val="22"/>
          <w:szCs w:val="22"/>
        </w:rPr>
        <w:t>Kapacita:</w:t>
      </w:r>
      <w:r w:rsidRPr="00914451">
        <w:rPr>
          <w:rFonts w:eastAsia="ArialMT-Identity-H" w:cs="ArialMT-Identity-H"/>
          <w:sz w:val="22"/>
          <w:szCs w:val="22"/>
        </w:rPr>
        <w:t xml:space="preserve"> až 1440 talířů/80 košů (500x500 mm) /hod</w:t>
      </w:r>
    </w:p>
    <w:p w14:paraId="7C2A5243" w14:textId="14B2E00A" w:rsidR="008C433A" w:rsidRPr="008245BE" w:rsidRDefault="008C433A" w:rsidP="008C433A">
      <w:pPr>
        <w:pStyle w:val="Standard"/>
        <w:numPr>
          <w:ilvl w:val="0"/>
          <w:numId w:val="36"/>
        </w:numPr>
        <w:spacing w:line="360" w:lineRule="auto"/>
        <w:rPr>
          <w:rFonts w:eastAsia="FrutigerCE-Roman" w:cs="FrutigerCE-Roman"/>
          <w:sz w:val="22"/>
          <w:szCs w:val="22"/>
        </w:rPr>
      </w:pPr>
      <w:r w:rsidRPr="00914451">
        <w:rPr>
          <w:rFonts w:eastAsia="FrutigerCE-Roman" w:cs="FrutigerCE-Roman"/>
          <w:b/>
          <w:bCs/>
          <w:sz w:val="22"/>
          <w:szCs w:val="22"/>
        </w:rPr>
        <w:t>Počet programů:</w:t>
      </w:r>
      <w:r w:rsidRPr="00914451">
        <w:rPr>
          <w:rFonts w:eastAsia="FrutigerCE-Roman" w:cs="FrutigerCE-Roman"/>
          <w:sz w:val="22"/>
          <w:szCs w:val="22"/>
        </w:rPr>
        <w:t xml:space="preserve"> min.3</w:t>
      </w:r>
      <w:r w:rsidRPr="00914451">
        <w:rPr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96D372" wp14:editId="0B6DF73F">
                <wp:simplePos x="0" y="0"/>
                <wp:positionH relativeFrom="column">
                  <wp:posOffset>4582795</wp:posOffset>
                </wp:positionH>
                <wp:positionV relativeFrom="paragraph">
                  <wp:posOffset>226695</wp:posOffset>
                </wp:positionV>
                <wp:extent cx="1283970" cy="289560"/>
                <wp:effectExtent l="0" t="3810" r="0" b="19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BF77" w14:textId="77777777" w:rsidR="008C433A" w:rsidRDefault="008C433A" w:rsidP="008C433A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D372" id="Textové pole 1" o:spid="_x0000_s1027" type="#_x0000_t202" style="position:absolute;left:0;text-align:left;margin-left:360.85pt;margin-top:17.85pt;width:101.1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" stroked="f">
                <v:textbox>
                  <w:txbxContent>
                    <w:p w14:paraId="518BBF77" w14:textId="77777777" w:rsidR="008C433A" w:rsidRDefault="008C433A" w:rsidP="008C433A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2D8BC" w14:textId="77777777" w:rsidR="008C433A" w:rsidRPr="00744410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FrutigerCE-Bold" w:cs="FrutigerCE-Bold"/>
          <w:sz w:val="22"/>
          <w:szCs w:val="22"/>
        </w:rPr>
      </w:pPr>
      <w:proofErr w:type="spellStart"/>
      <w:r w:rsidRPr="00744410">
        <w:rPr>
          <w:sz w:val="22"/>
          <w:szCs w:val="22"/>
        </w:rPr>
        <w:t>Topnice</w:t>
      </w:r>
      <w:proofErr w:type="spellEnd"/>
      <w:r w:rsidRPr="00744410">
        <w:rPr>
          <w:sz w:val="22"/>
          <w:szCs w:val="22"/>
        </w:rPr>
        <w:t xml:space="preserve"> s ochranou proti přehřátí při nízké hladině vody</w:t>
      </w:r>
    </w:p>
    <w:p w14:paraId="4861A300" w14:textId="77777777" w:rsidR="008C433A" w:rsidRPr="003C0997" w:rsidRDefault="008C433A" w:rsidP="008C433A">
      <w:pPr>
        <w:numPr>
          <w:ilvl w:val="0"/>
          <w:numId w:val="37"/>
        </w:num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Jednoplášťový poklop s pružinovým mechanismem</w:t>
      </w:r>
    </w:p>
    <w:p w14:paraId="64B716D5" w14:textId="77777777" w:rsidR="008C433A" w:rsidRPr="003C0997" w:rsidRDefault="008C433A" w:rsidP="008C433A">
      <w:pPr>
        <w:numPr>
          <w:ilvl w:val="0"/>
          <w:numId w:val="37"/>
        </w:numPr>
        <w:spacing w:line="360" w:lineRule="auto"/>
        <w:rPr>
          <w:b/>
          <w:bCs/>
          <w:sz w:val="22"/>
          <w:szCs w:val="22"/>
        </w:rPr>
      </w:pPr>
      <w:r w:rsidRPr="0088236E">
        <w:rPr>
          <w:b/>
          <w:bCs/>
          <w:sz w:val="22"/>
          <w:szCs w:val="22"/>
        </w:rPr>
        <w:t>Materiál:</w:t>
      </w:r>
      <w:r>
        <w:rPr>
          <w:sz w:val="22"/>
          <w:szCs w:val="22"/>
        </w:rPr>
        <w:t xml:space="preserve"> odolná nerezavějící ocel AISI 304</w:t>
      </w:r>
    </w:p>
    <w:p w14:paraId="5EF3CF6E" w14:textId="77777777" w:rsidR="008C433A" w:rsidRPr="00582E01" w:rsidRDefault="008C433A" w:rsidP="008C433A">
      <w:pPr>
        <w:numPr>
          <w:ilvl w:val="0"/>
          <w:numId w:val="37"/>
        </w:numPr>
        <w:spacing w:after="120" w:line="360" w:lineRule="auto"/>
        <w:rPr>
          <w:b/>
          <w:bCs/>
          <w:sz w:val="22"/>
          <w:szCs w:val="22"/>
        </w:rPr>
      </w:pPr>
      <w:r w:rsidRPr="003C0997">
        <w:rPr>
          <w:sz w:val="22"/>
          <w:szCs w:val="22"/>
        </w:rPr>
        <w:t>Příprava pro napojení na HACCP a Systém kontroly odběrového maxima energie</w:t>
      </w:r>
    </w:p>
    <w:p w14:paraId="4A6997EF" w14:textId="77777777" w:rsidR="008C433A" w:rsidRDefault="008C433A" w:rsidP="008C433A">
      <w:pPr>
        <w:pStyle w:val="Standard"/>
        <w:autoSpaceDE w:val="0"/>
        <w:rPr>
          <w:rFonts w:eastAsia="ArialMT-Identity-H" w:cs="Times New Roman"/>
          <w:b/>
          <w:bCs/>
          <w:i/>
          <w:iCs/>
        </w:rPr>
      </w:pPr>
      <w:r w:rsidRPr="00D01FBC">
        <w:rPr>
          <w:rFonts w:eastAsia="ArialMT-Identity-H" w:cs="Times New Roman"/>
          <w:b/>
          <w:bCs/>
          <w:i/>
          <w:iCs/>
        </w:rPr>
        <w:t>Technická data</w:t>
      </w:r>
      <w:r>
        <w:rPr>
          <w:rFonts w:eastAsia="ArialMT-Identity-H" w:cs="Times New Roman"/>
          <w:b/>
          <w:bCs/>
          <w:i/>
          <w:iCs/>
        </w:rPr>
        <w:t>:</w:t>
      </w:r>
    </w:p>
    <w:p w14:paraId="4FF69805" w14:textId="77777777" w:rsidR="008C433A" w:rsidRPr="008E2051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12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rFonts w:eastAsia="ArialMT-Identity-H" w:cs="Times New Roman"/>
          <w:b/>
          <w:bCs/>
          <w:sz w:val="22"/>
          <w:szCs w:val="22"/>
        </w:rPr>
        <w:t>Napětí:</w:t>
      </w:r>
      <w:r w:rsidRPr="008E2051">
        <w:rPr>
          <w:rFonts w:eastAsia="ArialMT-Identity-H" w:cs="Times New Roman"/>
          <w:sz w:val="22"/>
          <w:szCs w:val="22"/>
        </w:rPr>
        <w:t xml:space="preserve"> 400 V s možností změny zapojení na 230 V</w:t>
      </w:r>
    </w:p>
    <w:p w14:paraId="4232DCBF" w14:textId="77777777" w:rsidR="008C433A" w:rsidRPr="00AB1C93" w:rsidRDefault="008C433A" w:rsidP="008C433A">
      <w:pPr>
        <w:pStyle w:val="Standard"/>
        <w:numPr>
          <w:ilvl w:val="0"/>
          <w:numId w:val="35"/>
        </w:numPr>
        <w:autoSpaceDE w:val="0"/>
        <w:spacing w:before="100" w:beforeAutospacing="1" w:after="240"/>
        <w:jc w:val="both"/>
        <w:rPr>
          <w:rFonts w:eastAsia="ArialMT-Identity-H" w:cs="Times New Roman"/>
          <w:sz w:val="22"/>
          <w:szCs w:val="22"/>
        </w:rPr>
      </w:pPr>
      <w:r w:rsidRPr="00A81C25">
        <w:rPr>
          <w:rFonts w:eastAsia="ArialMT-Identity-H" w:cs="Times New Roman"/>
          <w:b/>
          <w:bCs/>
          <w:sz w:val="22"/>
          <w:szCs w:val="22"/>
        </w:rPr>
        <w:t>Max. příkon:</w:t>
      </w:r>
      <w:r w:rsidRPr="008E2051">
        <w:rPr>
          <w:rFonts w:eastAsia="ArialMT-Identity-H" w:cs="Times New Roman"/>
          <w:sz w:val="22"/>
          <w:szCs w:val="22"/>
        </w:rPr>
        <w:t xml:space="preserve"> </w:t>
      </w:r>
      <w:r>
        <w:rPr>
          <w:rFonts w:eastAsia="ArialMT-Identity-H" w:cs="Times New Roman"/>
          <w:sz w:val="22"/>
          <w:szCs w:val="22"/>
        </w:rPr>
        <w:t>10</w:t>
      </w:r>
      <w:r w:rsidRPr="008E2051">
        <w:rPr>
          <w:rFonts w:eastAsia="ArialMT-Identity-H" w:cs="Times New Roman"/>
          <w:sz w:val="22"/>
          <w:szCs w:val="22"/>
        </w:rPr>
        <w:t xml:space="preserve"> </w:t>
      </w:r>
      <w:r>
        <w:rPr>
          <w:rFonts w:eastAsia="ArialMT-Identity-H" w:cs="Times New Roman"/>
          <w:sz w:val="22"/>
          <w:szCs w:val="22"/>
        </w:rPr>
        <w:t>kW</w:t>
      </w:r>
    </w:p>
    <w:p w14:paraId="344B5890" w14:textId="77777777" w:rsidR="008C433A" w:rsidRPr="00D01FBC" w:rsidRDefault="008C433A" w:rsidP="008C433A">
      <w:pPr>
        <w:pStyle w:val="Standard"/>
        <w:autoSpaceDE w:val="0"/>
        <w:rPr>
          <w:rFonts w:eastAsia="FrutigerCE-Roman" w:cs="FrutigerCE-Roman"/>
          <w:b/>
          <w:bCs/>
          <w:i/>
          <w:iCs/>
        </w:rPr>
      </w:pPr>
      <w:r w:rsidRPr="00D01FBC">
        <w:rPr>
          <w:rFonts w:eastAsia="FrutigerCE-Roman" w:cs="FrutigerCE-Roman"/>
          <w:b/>
          <w:bCs/>
          <w:i/>
          <w:iCs/>
        </w:rPr>
        <w:t>Příslušenství:</w:t>
      </w:r>
    </w:p>
    <w:p w14:paraId="49916999" w14:textId="77777777" w:rsidR="008C433A" w:rsidRPr="00002613" w:rsidRDefault="008C433A" w:rsidP="008C433A">
      <w:pPr>
        <w:pStyle w:val="Odstavecseseznamem"/>
        <w:rPr>
          <w:rFonts w:eastAsia="FrutigerCE-Roman" w:cs="FrutigerCE-Roman"/>
        </w:rPr>
      </w:pPr>
    </w:p>
    <w:p w14:paraId="6A8CF1E3" w14:textId="77777777" w:rsidR="008C433A" w:rsidRPr="00AB1C93" w:rsidRDefault="008C433A" w:rsidP="008C433A">
      <w:pPr>
        <w:pStyle w:val="Standard"/>
        <w:numPr>
          <w:ilvl w:val="1"/>
          <w:numId w:val="42"/>
        </w:numPr>
        <w:autoSpaceDE w:val="0"/>
        <w:ind w:left="709"/>
        <w:rPr>
          <w:rFonts w:eastAsia="FrutigerCE-Roman" w:cs="FrutigerCE-Roman"/>
          <w:sz w:val="22"/>
          <w:szCs w:val="22"/>
        </w:rPr>
      </w:pPr>
      <w:r w:rsidRPr="00AB1C93">
        <w:rPr>
          <w:rFonts w:eastAsia="FrutigerCE-Roman" w:cs="FrutigerCE-Roman"/>
          <w:sz w:val="22"/>
          <w:szCs w:val="22"/>
        </w:rPr>
        <w:t xml:space="preserve">1x košíček na příbory </w:t>
      </w:r>
    </w:p>
    <w:p w14:paraId="3C289377" w14:textId="77777777" w:rsidR="008C433A" w:rsidRPr="00AB1C93" w:rsidRDefault="008C433A" w:rsidP="008C433A">
      <w:pPr>
        <w:pStyle w:val="Standard"/>
        <w:numPr>
          <w:ilvl w:val="1"/>
          <w:numId w:val="42"/>
        </w:numPr>
        <w:autoSpaceDE w:val="0"/>
        <w:spacing w:after="240"/>
        <w:ind w:left="709"/>
        <w:rPr>
          <w:rFonts w:eastAsia="FrutigerCE-Roman" w:cs="FrutigerCE-Roman"/>
          <w:sz w:val="22"/>
          <w:szCs w:val="22"/>
        </w:rPr>
      </w:pPr>
      <w:r w:rsidRPr="00AB1C93">
        <w:rPr>
          <w:rFonts w:eastAsia="FrutigerCE-Roman" w:cs="FrutigerCE-Roman"/>
          <w:sz w:val="22"/>
          <w:szCs w:val="22"/>
        </w:rPr>
        <w:t xml:space="preserve">1 x koš na talíře </w:t>
      </w:r>
    </w:p>
    <w:p w14:paraId="7BAE1BB0" w14:textId="77777777" w:rsidR="008C433A" w:rsidRDefault="008C433A" w:rsidP="008C433A">
      <w:pPr>
        <w:pStyle w:val="Standard"/>
        <w:autoSpaceDE w:val="0"/>
        <w:spacing w:after="240"/>
        <w:rPr>
          <w:rFonts w:eastAsia="ArialMT-Identity-H" w:cs="Times New Roman"/>
          <w:b/>
          <w:bCs/>
          <w:i/>
          <w:iCs/>
        </w:rPr>
      </w:pPr>
      <w:r w:rsidRPr="00D01FBC">
        <w:rPr>
          <w:rFonts w:eastAsia="ArialMT-Identity-H" w:cs="Times New Roman"/>
          <w:b/>
          <w:bCs/>
          <w:i/>
          <w:iCs/>
        </w:rPr>
        <w:t>Rozměry</w:t>
      </w:r>
    </w:p>
    <w:p w14:paraId="61691882" w14:textId="77777777" w:rsidR="008C433A" w:rsidRDefault="008C433A" w:rsidP="008C433A">
      <w:pPr>
        <w:pStyle w:val="Standard"/>
        <w:numPr>
          <w:ilvl w:val="0"/>
          <w:numId w:val="36"/>
        </w:numPr>
        <w:autoSpaceDE w:val="0"/>
        <w:spacing w:line="360" w:lineRule="auto"/>
        <w:rPr>
          <w:rFonts w:eastAsia="FrutigerCE-Bold" w:cs="FrutigerCE-Bold"/>
          <w:sz w:val="22"/>
          <w:szCs w:val="22"/>
        </w:rPr>
      </w:pPr>
      <w:r w:rsidRPr="00533E96">
        <w:rPr>
          <w:rFonts w:eastAsia="FrutigerCE-Bold" w:cs="FrutigerCE-Bold"/>
          <w:b/>
          <w:bCs/>
          <w:sz w:val="22"/>
          <w:szCs w:val="22"/>
        </w:rPr>
        <w:t>Max. rozměr myčky</w:t>
      </w:r>
      <w:r w:rsidRPr="00914451">
        <w:rPr>
          <w:rFonts w:eastAsia="FrutigerCE-Bold" w:cs="FrutigerCE-Bold"/>
          <w:sz w:val="22"/>
          <w:szCs w:val="22"/>
        </w:rPr>
        <w:t xml:space="preserve"> (</w:t>
      </w:r>
      <w:r>
        <w:rPr>
          <w:rFonts w:eastAsia="FrutigerCE-Bold" w:cs="FrutigerCE-Bold"/>
          <w:sz w:val="22"/>
          <w:szCs w:val="22"/>
        </w:rPr>
        <w:t>š x h x v</w:t>
      </w:r>
      <w:r w:rsidRPr="00914451">
        <w:rPr>
          <w:rFonts w:eastAsia="FrutigerCE-Bold" w:cs="FrutigerCE-Bold"/>
          <w:sz w:val="22"/>
          <w:szCs w:val="22"/>
        </w:rPr>
        <w:t>): 750 x 755 x 1550</w:t>
      </w:r>
      <w:r>
        <w:rPr>
          <w:rFonts w:eastAsia="FrutigerCE-Bold" w:cs="FrutigerCE-Bold"/>
          <w:sz w:val="22"/>
          <w:szCs w:val="22"/>
        </w:rPr>
        <w:t xml:space="preserve"> </w:t>
      </w:r>
      <w:r w:rsidRPr="003C0997">
        <w:rPr>
          <w:rFonts w:eastAsia="FrutigerCE-Bold" w:cs="FrutigerCE-Bold"/>
          <w:sz w:val="22"/>
          <w:szCs w:val="22"/>
        </w:rPr>
        <w:t>mm</w:t>
      </w:r>
    </w:p>
    <w:p w14:paraId="17DE30E2" w14:textId="77777777" w:rsidR="008C433A" w:rsidRPr="0050082E" w:rsidRDefault="008C433A" w:rsidP="008C433A">
      <w:pPr>
        <w:pStyle w:val="Standard"/>
        <w:autoSpaceDE w:val="0"/>
        <w:spacing w:line="360" w:lineRule="auto"/>
        <w:ind w:left="720"/>
        <w:rPr>
          <w:rFonts w:eastAsia="FrutigerCE-Bold" w:cs="FrutigerCE-Bold"/>
          <w:sz w:val="22"/>
          <w:szCs w:val="22"/>
        </w:rPr>
      </w:pPr>
    </w:p>
    <w:tbl>
      <w:tblPr>
        <w:tblpPr w:leftFromText="141" w:rightFromText="141" w:vertAnchor="text" w:horzAnchor="margin" w:tblpXSpec="center" w:tblpY="5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572"/>
        <w:gridCol w:w="1559"/>
        <w:gridCol w:w="851"/>
        <w:gridCol w:w="1417"/>
      </w:tblGrid>
      <w:tr w:rsidR="008C433A" w:rsidRPr="002C6986" w14:paraId="62DC2656" w14:textId="77777777" w:rsidTr="00153091">
        <w:trPr>
          <w:trHeight w:val="1271"/>
        </w:trPr>
        <w:tc>
          <w:tcPr>
            <w:tcW w:w="580" w:type="dxa"/>
            <w:shd w:val="clear" w:color="auto" w:fill="auto"/>
          </w:tcPr>
          <w:p w14:paraId="42061908" w14:textId="77777777" w:rsidR="008C433A" w:rsidRPr="002C6986" w:rsidRDefault="008C433A" w:rsidP="00153091">
            <w:pPr>
              <w:spacing w:before="120"/>
              <w:jc w:val="center"/>
            </w:pPr>
            <w:proofErr w:type="spellStart"/>
            <w:r w:rsidRPr="002C6986">
              <w:lastRenderedPageBreak/>
              <w:t>Polč</w:t>
            </w:r>
            <w:proofErr w:type="spellEnd"/>
            <w:r w:rsidRPr="002C6986">
              <w:t>.</w:t>
            </w:r>
          </w:p>
        </w:tc>
        <w:tc>
          <w:tcPr>
            <w:tcW w:w="1852" w:type="dxa"/>
            <w:shd w:val="clear" w:color="auto" w:fill="auto"/>
          </w:tcPr>
          <w:p w14:paraId="7EFB13F4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013985DC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Cena v Kč</w:t>
            </w:r>
          </w:p>
          <w:p w14:paraId="16D0F31C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690B36C3" w14:textId="77777777" w:rsidR="008C433A" w:rsidRPr="002C6986" w:rsidRDefault="008C433A" w:rsidP="00153091">
            <w:pPr>
              <w:spacing w:before="120"/>
              <w:ind w:right="-250"/>
              <w:jc w:val="center"/>
            </w:pPr>
            <w:r w:rsidRPr="002C6986">
              <w:t>počet</w:t>
            </w:r>
          </w:p>
          <w:p w14:paraId="6E40C804" w14:textId="77777777" w:rsidR="008C433A" w:rsidRPr="002C6986" w:rsidRDefault="008C433A" w:rsidP="00153091">
            <w:pPr>
              <w:spacing w:before="120"/>
              <w:ind w:right="-250"/>
              <w:jc w:val="center"/>
            </w:pPr>
            <w:r w:rsidRPr="002C6986">
              <w:t>ks</w:t>
            </w:r>
          </w:p>
        </w:tc>
        <w:tc>
          <w:tcPr>
            <w:tcW w:w="1572" w:type="dxa"/>
            <w:shd w:val="clear" w:color="auto" w:fill="auto"/>
          </w:tcPr>
          <w:p w14:paraId="46463CA3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Celková cena v Kč bez DPH</w:t>
            </w:r>
          </w:p>
        </w:tc>
        <w:tc>
          <w:tcPr>
            <w:tcW w:w="1559" w:type="dxa"/>
            <w:shd w:val="clear" w:color="auto" w:fill="auto"/>
          </w:tcPr>
          <w:p w14:paraId="0F91045F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Celková cena v Kč vč. DPH</w:t>
            </w:r>
          </w:p>
        </w:tc>
        <w:tc>
          <w:tcPr>
            <w:tcW w:w="851" w:type="dxa"/>
            <w:shd w:val="clear" w:color="auto" w:fill="auto"/>
          </w:tcPr>
          <w:p w14:paraId="49616B1B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Sazba</w:t>
            </w:r>
          </w:p>
          <w:p w14:paraId="3956C64C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DPH</w:t>
            </w:r>
          </w:p>
          <w:p w14:paraId="51022321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v %</w:t>
            </w:r>
          </w:p>
        </w:tc>
        <w:tc>
          <w:tcPr>
            <w:tcW w:w="1417" w:type="dxa"/>
            <w:shd w:val="clear" w:color="auto" w:fill="auto"/>
          </w:tcPr>
          <w:p w14:paraId="5A0A9ACE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Poznámka:</w:t>
            </w:r>
          </w:p>
          <w:p w14:paraId="63E1A74D" w14:textId="77777777" w:rsidR="008C433A" w:rsidRPr="002C6986" w:rsidRDefault="008C433A" w:rsidP="00153091">
            <w:pPr>
              <w:spacing w:before="120"/>
              <w:jc w:val="center"/>
            </w:pPr>
            <w:r w:rsidRPr="002C6986">
              <w:t>Název zboží</w:t>
            </w:r>
          </w:p>
        </w:tc>
      </w:tr>
      <w:tr w:rsidR="008C433A" w:rsidRPr="002C6986" w14:paraId="26E5DD85" w14:textId="77777777" w:rsidTr="00153091">
        <w:trPr>
          <w:trHeight w:val="909"/>
        </w:trPr>
        <w:tc>
          <w:tcPr>
            <w:tcW w:w="580" w:type="dxa"/>
            <w:shd w:val="clear" w:color="auto" w:fill="auto"/>
          </w:tcPr>
          <w:p w14:paraId="32B7AAA1" w14:textId="77777777" w:rsidR="008C433A" w:rsidRPr="002C6986" w:rsidRDefault="008C433A" w:rsidP="00153091">
            <w:pPr>
              <w:spacing w:before="120"/>
              <w:jc w:val="both"/>
            </w:pPr>
            <w:r w:rsidRPr="002C6986">
              <w:t>1.</w:t>
            </w:r>
          </w:p>
        </w:tc>
        <w:tc>
          <w:tcPr>
            <w:tcW w:w="1852" w:type="dxa"/>
            <w:shd w:val="clear" w:color="auto" w:fill="auto"/>
          </w:tcPr>
          <w:p w14:paraId="4B199FDB" w14:textId="77777777" w:rsidR="008C433A" w:rsidRPr="002C6986" w:rsidRDefault="008C433A" w:rsidP="00153091">
            <w:pPr>
              <w:jc w:val="center"/>
            </w:pPr>
            <w:r>
              <w:t>Podpultová myčka nádobí s podstavcem</w:t>
            </w:r>
          </w:p>
        </w:tc>
        <w:tc>
          <w:tcPr>
            <w:tcW w:w="1662" w:type="dxa"/>
            <w:shd w:val="clear" w:color="auto" w:fill="FBE4D5"/>
          </w:tcPr>
          <w:p w14:paraId="31166555" w14:textId="77777777" w:rsidR="008C433A" w:rsidRPr="002C6986" w:rsidRDefault="008C433A" w:rsidP="00153091">
            <w:pPr>
              <w:spacing w:before="120"/>
              <w:jc w:val="center"/>
            </w:pPr>
            <w:r>
              <w:t>59 790,00</w:t>
            </w:r>
          </w:p>
        </w:tc>
        <w:tc>
          <w:tcPr>
            <w:tcW w:w="963" w:type="dxa"/>
            <w:shd w:val="clear" w:color="auto" w:fill="auto"/>
          </w:tcPr>
          <w:p w14:paraId="433A4060" w14:textId="77777777" w:rsidR="008C433A" w:rsidRPr="002C6986" w:rsidRDefault="008C433A" w:rsidP="0015309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72" w:type="dxa"/>
            <w:shd w:val="clear" w:color="auto" w:fill="FBE4D5"/>
          </w:tcPr>
          <w:p w14:paraId="2CC47C31" w14:textId="77777777" w:rsidR="008C433A" w:rsidRPr="002C6986" w:rsidRDefault="008C433A" w:rsidP="00153091">
            <w:pPr>
              <w:spacing w:before="120"/>
              <w:jc w:val="center"/>
            </w:pPr>
            <w:r>
              <w:t>59 790,00</w:t>
            </w:r>
          </w:p>
        </w:tc>
        <w:tc>
          <w:tcPr>
            <w:tcW w:w="1559" w:type="dxa"/>
            <w:shd w:val="clear" w:color="auto" w:fill="FBE4D5"/>
          </w:tcPr>
          <w:p w14:paraId="08DD2B10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72 345,90</w:t>
            </w:r>
          </w:p>
        </w:tc>
        <w:tc>
          <w:tcPr>
            <w:tcW w:w="851" w:type="dxa"/>
            <w:shd w:val="clear" w:color="auto" w:fill="FBE4D5"/>
          </w:tcPr>
          <w:p w14:paraId="27C9AE53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  <w:shd w:val="clear" w:color="auto" w:fill="FBE4D5"/>
          </w:tcPr>
          <w:p w14:paraId="7F3171C0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 w:rsidRPr="0050082E">
              <w:rPr>
                <w:b/>
              </w:rPr>
              <w:t>Electrolux 400310</w:t>
            </w:r>
          </w:p>
        </w:tc>
      </w:tr>
      <w:tr w:rsidR="008C433A" w:rsidRPr="002C6986" w14:paraId="458ED77F" w14:textId="77777777" w:rsidTr="00153091">
        <w:trPr>
          <w:trHeight w:val="745"/>
        </w:trPr>
        <w:tc>
          <w:tcPr>
            <w:tcW w:w="580" w:type="dxa"/>
            <w:shd w:val="clear" w:color="auto" w:fill="auto"/>
          </w:tcPr>
          <w:p w14:paraId="5B6FFA13" w14:textId="77777777" w:rsidR="008C433A" w:rsidRPr="002C6986" w:rsidRDefault="008C433A" w:rsidP="00153091">
            <w:pPr>
              <w:spacing w:before="120"/>
              <w:jc w:val="both"/>
            </w:pPr>
            <w:r>
              <w:t>2.</w:t>
            </w:r>
          </w:p>
        </w:tc>
        <w:tc>
          <w:tcPr>
            <w:tcW w:w="1852" w:type="dxa"/>
            <w:shd w:val="clear" w:color="auto" w:fill="auto"/>
          </w:tcPr>
          <w:p w14:paraId="71D9A508" w14:textId="77777777" w:rsidR="008C433A" w:rsidRPr="002C6986" w:rsidRDefault="008C433A" w:rsidP="00153091">
            <w:pPr>
              <w:jc w:val="center"/>
            </w:pPr>
            <w:r>
              <w:t>Průchozí myčka nádobí</w:t>
            </w:r>
          </w:p>
        </w:tc>
        <w:tc>
          <w:tcPr>
            <w:tcW w:w="1662" w:type="dxa"/>
            <w:shd w:val="clear" w:color="auto" w:fill="FBE4D5"/>
          </w:tcPr>
          <w:p w14:paraId="459D26F5" w14:textId="77777777" w:rsidR="008C433A" w:rsidRPr="002C6986" w:rsidRDefault="008C433A" w:rsidP="00153091">
            <w:pPr>
              <w:spacing w:before="120"/>
              <w:jc w:val="center"/>
            </w:pPr>
            <w:r>
              <w:t>83 100,00</w:t>
            </w:r>
          </w:p>
        </w:tc>
        <w:tc>
          <w:tcPr>
            <w:tcW w:w="963" w:type="dxa"/>
            <w:shd w:val="clear" w:color="auto" w:fill="auto"/>
          </w:tcPr>
          <w:p w14:paraId="38EC5301" w14:textId="77777777" w:rsidR="008C433A" w:rsidRPr="002C6986" w:rsidRDefault="008C433A" w:rsidP="0015309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572" w:type="dxa"/>
            <w:shd w:val="clear" w:color="auto" w:fill="FBE4D5"/>
          </w:tcPr>
          <w:p w14:paraId="5D392A93" w14:textId="77777777" w:rsidR="008C433A" w:rsidRPr="002C6986" w:rsidRDefault="008C433A" w:rsidP="00153091">
            <w:pPr>
              <w:spacing w:before="120"/>
              <w:jc w:val="center"/>
            </w:pPr>
            <w:r>
              <w:t>83 100,00</w:t>
            </w:r>
          </w:p>
        </w:tc>
        <w:tc>
          <w:tcPr>
            <w:tcW w:w="1559" w:type="dxa"/>
            <w:shd w:val="clear" w:color="auto" w:fill="FBE4D5"/>
          </w:tcPr>
          <w:p w14:paraId="752321BD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100 551,00</w:t>
            </w:r>
          </w:p>
        </w:tc>
        <w:tc>
          <w:tcPr>
            <w:tcW w:w="851" w:type="dxa"/>
            <w:shd w:val="clear" w:color="auto" w:fill="FBE4D5"/>
          </w:tcPr>
          <w:p w14:paraId="5FD255C8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  <w:shd w:val="clear" w:color="auto" w:fill="FBE4D5"/>
          </w:tcPr>
          <w:p w14:paraId="2331B8E4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 w:rsidRPr="0050082E">
              <w:rPr>
                <w:b/>
              </w:rPr>
              <w:t>Electrolux 505089</w:t>
            </w:r>
          </w:p>
        </w:tc>
      </w:tr>
      <w:tr w:rsidR="008C433A" w:rsidRPr="002C6986" w14:paraId="1055CAC6" w14:textId="77777777" w:rsidTr="00153091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3EE06B8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 w:rsidRPr="002C6986">
              <w:rPr>
                <w:b/>
              </w:rPr>
              <w:t>Celková nabídková cena:</w:t>
            </w:r>
          </w:p>
        </w:tc>
        <w:tc>
          <w:tcPr>
            <w:tcW w:w="1572" w:type="dxa"/>
            <w:shd w:val="clear" w:color="auto" w:fill="FBE4D5"/>
          </w:tcPr>
          <w:p w14:paraId="2D8483AE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142 890,00</w:t>
            </w:r>
          </w:p>
        </w:tc>
        <w:tc>
          <w:tcPr>
            <w:tcW w:w="1559" w:type="dxa"/>
            <w:shd w:val="clear" w:color="auto" w:fill="FBE4D5"/>
          </w:tcPr>
          <w:p w14:paraId="4FBC84F3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172 896,90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4536D9" w14:textId="77777777" w:rsidR="008C433A" w:rsidRPr="002C6986" w:rsidRDefault="008C433A" w:rsidP="001530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</w:tr>
    </w:tbl>
    <w:p w14:paraId="4650BA4A" w14:textId="77777777" w:rsidR="008C433A" w:rsidRPr="00AB1C93" w:rsidRDefault="008C433A" w:rsidP="008C433A">
      <w:pPr>
        <w:ind w:left="-709"/>
        <w:rPr>
          <w:b/>
          <w:iCs/>
        </w:rPr>
      </w:pPr>
      <w:r w:rsidRPr="00AB1C93">
        <w:rPr>
          <w:b/>
          <w:iCs/>
        </w:rPr>
        <w:t>Tabulka nabídkové ceny:</w:t>
      </w:r>
    </w:p>
    <w:p w14:paraId="220770BE" w14:textId="77777777" w:rsidR="008C433A" w:rsidRPr="002C6986" w:rsidRDefault="008C433A" w:rsidP="008C433A">
      <w:pPr>
        <w:pStyle w:val="Odstavecseseznamem"/>
        <w:autoSpaceDE w:val="0"/>
        <w:autoSpaceDN w:val="0"/>
        <w:adjustRightInd w:val="0"/>
        <w:ind w:left="0"/>
        <w:jc w:val="both"/>
        <w:rPr>
          <w:b/>
          <w:bCs/>
          <w:sz w:val="26"/>
          <w:szCs w:val="26"/>
          <w:u w:val="single"/>
        </w:rPr>
      </w:pPr>
    </w:p>
    <w:p w14:paraId="127CE3EC" w14:textId="77777777" w:rsidR="008C433A" w:rsidRPr="00AB1C93" w:rsidRDefault="008C433A" w:rsidP="008C433A">
      <w:pPr>
        <w:spacing w:before="100" w:beforeAutospacing="1" w:after="100" w:afterAutospacing="1"/>
        <w:rPr>
          <w:i/>
        </w:rPr>
      </w:pPr>
    </w:p>
    <w:p w14:paraId="6600FC8C" w14:textId="77777777" w:rsidR="000315ED" w:rsidRDefault="000315ED" w:rsidP="00E934AE">
      <w:pPr>
        <w:pStyle w:val="Styl"/>
        <w:tabs>
          <w:tab w:val="center" w:pos="2268"/>
          <w:tab w:val="left" w:pos="5529"/>
        </w:tabs>
        <w:ind w:left="425" w:hanging="425"/>
        <w:rPr>
          <w:b/>
          <w:color w:val="000000"/>
        </w:rPr>
      </w:pPr>
    </w:p>
    <w:sectPr w:rsidR="000315ED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8529" w14:textId="77777777" w:rsidR="00532A95" w:rsidRDefault="00532A95" w:rsidP="00583CC5">
      <w:r>
        <w:separator/>
      </w:r>
    </w:p>
  </w:endnote>
  <w:endnote w:type="continuationSeparator" w:id="0">
    <w:p w14:paraId="13CDFEA0" w14:textId="77777777" w:rsidR="00532A95" w:rsidRDefault="00532A95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Arial"/>
    <w:charset w:val="00"/>
    <w:family w:val="auto"/>
    <w:pitch w:val="default"/>
  </w:font>
  <w:font w:name="ElectroluxSans-Regular">
    <w:altName w:val="Calibri"/>
    <w:charset w:val="00"/>
    <w:family w:val="swiss"/>
    <w:pitch w:val="default"/>
    <w:sig w:usb0="00000001" w:usb1="08070000" w:usb2="00000010" w:usb3="00000000" w:csb0="00020000" w:csb1="00000000"/>
  </w:font>
  <w:font w:name="FrutigerCE-Roman">
    <w:charset w:val="00"/>
    <w:family w:val="auto"/>
    <w:pitch w:val="default"/>
  </w:font>
  <w:font w:name="FrutigerCE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FD99" w14:textId="77777777" w:rsidR="00532A95" w:rsidRDefault="00532A95" w:rsidP="00583CC5">
      <w:r>
        <w:separator/>
      </w:r>
    </w:p>
  </w:footnote>
  <w:footnote w:type="continuationSeparator" w:id="0">
    <w:p w14:paraId="70D44C1E" w14:textId="77777777" w:rsidR="00532A95" w:rsidRDefault="00532A95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35D8"/>
    <w:multiLevelType w:val="hybridMultilevel"/>
    <w:tmpl w:val="CC14D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240A"/>
    <w:multiLevelType w:val="hybridMultilevel"/>
    <w:tmpl w:val="A9443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1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37266"/>
    <w:multiLevelType w:val="hybridMultilevel"/>
    <w:tmpl w:val="0CD259E8"/>
    <w:lvl w:ilvl="0" w:tplc="80AC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0961"/>
    <w:multiLevelType w:val="hybridMultilevel"/>
    <w:tmpl w:val="022A7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9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36307ECC"/>
    <w:multiLevelType w:val="hybridMultilevel"/>
    <w:tmpl w:val="629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15BCB"/>
    <w:multiLevelType w:val="hybridMultilevel"/>
    <w:tmpl w:val="CB0AF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27F0E"/>
    <w:multiLevelType w:val="hybridMultilevel"/>
    <w:tmpl w:val="1120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25C36"/>
    <w:multiLevelType w:val="hybridMultilevel"/>
    <w:tmpl w:val="AA88B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A6C88"/>
    <w:multiLevelType w:val="hybridMultilevel"/>
    <w:tmpl w:val="F32E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4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1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5"/>
  </w:num>
  <w:num w:numId="2">
    <w:abstractNumId w:val="2"/>
  </w:num>
  <w:num w:numId="3">
    <w:abstractNumId w:val="16"/>
  </w:num>
  <w:num w:numId="4">
    <w:abstractNumId w:val="7"/>
  </w:num>
  <w:num w:numId="5">
    <w:abstractNumId w:val="0"/>
  </w:num>
  <w:num w:numId="6">
    <w:abstractNumId w:val="41"/>
  </w:num>
  <w:num w:numId="7">
    <w:abstractNumId w:val="29"/>
  </w:num>
  <w:num w:numId="8">
    <w:abstractNumId w:val="33"/>
  </w:num>
  <w:num w:numId="9">
    <w:abstractNumId w:val="31"/>
  </w:num>
  <w:num w:numId="10">
    <w:abstractNumId w:val="40"/>
  </w:num>
  <w:num w:numId="11">
    <w:abstractNumId w:val="22"/>
  </w:num>
  <w:num w:numId="12">
    <w:abstractNumId w:val="18"/>
  </w:num>
  <w:num w:numId="13">
    <w:abstractNumId w:val="30"/>
  </w:num>
  <w:num w:numId="14">
    <w:abstractNumId w:val="17"/>
  </w:num>
  <w:num w:numId="15">
    <w:abstractNumId w:val="10"/>
  </w:num>
  <w:num w:numId="16">
    <w:abstractNumId w:val="3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9"/>
  </w:num>
  <w:num w:numId="21">
    <w:abstractNumId w:val="26"/>
  </w:num>
  <w:num w:numId="22">
    <w:abstractNumId w:val="34"/>
  </w:num>
  <w:num w:numId="23">
    <w:abstractNumId w:val="37"/>
  </w:num>
  <w:num w:numId="24">
    <w:abstractNumId w:val="5"/>
  </w:num>
  <w:num w:numId="25">
    <w:abstractNumId w:val="27"/>
  </w:num>
  <w:num w:numId="26">
    <w:abstractNumId w:val="28"/>
  </w:num>
  <w:num w:numId="27">
    <w:abstractNumId w:val="24"/>
  </w:num>
  <w:num w:numId="28">
    <w:abstractNumId w:val="11"/>
  </w:num>
  <w:num w:numId="29">
    <w:abstractNumId w:val="36"/>
  </w:num>
  <w:num w:numId="30">
    <w:abstractNumId w:val="19"/>
  </w:num>
  <w:num w:numId="31">
    <w:abstractNumId w:val="38"/>
  </w:num>
  <w:num w:numId="32">
    <w:abstractNumId w:val="6"/>
  </w:num>
  <w:num w:numId="33">
    <w:abstractNumId w:val="9"/>
  </w:num>
  <w:num w:numId="34">
    <w:abstractNumId w:val="21"/>
  </w:num>
  <w:num w:numId="35">
    <w:abstractNumId w:val="25"/>
  </w:num>
  <w:num w:numId="36">
    <w:abstractNumId w:val="8"/>
  </w:num>
  <w:num w:numId="37">
    <w:abstractNumId w:val="32"/>
  </w:num>
  <w:num w:numId="38">
    <w:abstractNumId w:val="4"/>
  </w:num>
  <w:num w:numId="39">
    <w:abstractNumId w:val="13"/>
  </w:num>
  <w:num w:numId="40">
    <w:abstractNumId w:val="12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315ED"/>
    <w:rsid w:val="00037CDB"/>
    <w:rsid w:val="00077221"/>
    <w:rsid w:val="000D043C"/>
    <w:rsid w:val="000E3AF4"/>
    <w:rsid w:val="001A61DA"/>
    <w:rsid w:val="001C32C6"/>
    <w:rsid w:val="001D6716"/>
    <w:rsid w:val="001E4D7A"/>
    <w:rsid w:val="001F6B6A"/>
    <w:rsid w:val="0023186F"/>
    <w:rsid w:val="0028789E"/>
    <w:rsid w:val="002E0AFA"/>
    <w:rsid w:val="0030094D"/>
    <w:rsid w:val="00312A80"/>
    <w:rsid w:val="00381D0C"/>
    <w:rsid w:val="003E6C1A"/>
    <w:rsid w:val="004E1768"/>
    <w:rsid w:val="00507EC4"/>
    <w:rsid w:val="00532A95"/>
    <w:rsid w:val="00565069"/>
    <w:rsid w:val="00571502"/>
    <w:rsid w:val="00580168"/>
    <w:rsid w:val="00583CC5"/>
    <w:rsid w:val="0059786B"/>
    <w:rsid w:val="005B540D"/>
    <w:rsid w:val="005E6862"/>
    <w:rsid w:val="00675238"/>
    <w:rsid w:val="00683870"/>
    <w:rsid w:val="00697787"/>
    <w:rsid w:val="006A3055"/>
    <w:rsid w:val="00770FBD"/>
    <w:rsid w:val="007A3E39"/>
    <w:rsid w:val="007B3A04"/>
    <w:rsid w:val="007D593E"/>
    <w:rsid w:val="00826202"/>
    <w:rsid w:val="008515B9"/>
    <w:rsid w:val="00893DE1"/>
    <w:rsid w:val="008C433A"/>
    <w:rsid w:val="008F0397"/>
    <w:rsid w:val="0090768A"/>
    <w:rsid w:val="00911FDE"/>
    <w:rsid w:val="009244F9"/>
    <w:rsid w:val="0093661D"/>
    <w:rsid w:val="0094338C"/>
    <w:rsid w:val="00950D80"/>
    <w:rsid w:val="009573D3"/>
    <w:rsid w:val="00963747"/>
    <w:rsid w:val="009936CC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B49B5"/>
    <w:rsid w:val="00BF45DF"/>
    <w:rsid w:val="00C100FF"/>
    <w:rsid w:val="00C4114B"/>
    <w:rsid w:val="00C5302C"/>
    <w:rsid w:val="00C63BC4"/>
    <w:rsid w:val="00CD0246"/>
    <w:rsid w:val="00CD6EC9"/>
    <w:rsid w:val="00D12746"/>
    <w:rsid w:val="00D2067A"/>
    <w:rsid w:val="00D87F4B"/>
    <w:rsid w:val="00E33B13"/>
    <w:rsid w:val="00E62CF5"/>
    <w:rsid w:val="00E934AE"/>
    <w:rsid w:val="00EE0C73"/>
    <w:rsid w:val="00F20132"/>
    <w:rsid w:val="00F25919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paragraph" w:customStyle="1" w:styleId="Standard">
    <w:name w:val="Standard"/>
    <w:rsid w:val="008C43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2414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17</cp:revision>
  <cp:lastPrinted>2025-05-12T10:21:00Z</cp:lastPrinted>
  <dcterms:created xsi:type="dcterms:W3CDTF">2025-02-13T08:04:00Z</dcterms:created>
  <dcterms:modified xsi:type="dcterms:W3CDTF">2025-05-13T11:17:00Z</dcterms:modified>
</cp:coreProperties>
</file>