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23A1FDE0" w:rsidR="00E31FFE" w:rsidRPr="0090779C" w:rsidRDefault="007B1360" w:rsidP="004E3A81">
            <w:pPr>
              <w:pStyle w:val="Tab"/>
            </w:pPr>
            <w:r>
              <w:t>xxxxxxxxxxxxxxxxxx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06A801DC" w:rsidR="00E31FFE" w:rsidRPr="0090779C" w:rsidRDefault="007B1360" w:rsidP="004E3A81">
            <w:pPr>
              <w:pStyle w:val="Tab"/>
            </w:pPr>
            <w:r>
              <w:t>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0D045922" w:rsidR="00E31FFE" w:rsidRPr="0000270B" w:rsidRDefault="00883A5C" w:rsidP="004E3A81">
            <w:pPr>
              <w:pStyle w:val="Tab"/>
            </w:pPr>
            <w:r w:rsidRPr="00883A5C">
              <w:t xml:space="preserve">Most v ul. Bystrá, X 525 </w:t>
            </w:r>
            <w:r w:rsidR="00D05ED9">
              <w:t>–</w:t>
            </w:r>
            <w:r w:rsidRPr="00883A5C">
              <w:t xml:space="preserve"> novostavba</w:t>
            </w:r>
            <w:r w:rsidR="00D05ED9">
              <w:t>,</w:t>
            </w:r>
            <w:r w:rsidRPr="00883A5C">
              <w:t xml:space="preserve"> č</w:t>
            </w:r>
            <w:r w:rsidR="00D05ED9">
              <w:t>.</w:t>
            </w:r>
            <w:r w:rsidRPr="00883A5C">
              <w:t xml:space="preserve"> akce 1000006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2BAB373A" w:rsidR="004B184A" w:rsidRPr="0090779C" w:rsidRDefault="00883A5C" w:rsidP="004B184A">
            <w:pPr>
              <w:pStyle w:val="Tab"/>
            </w:pPr>
            <w:hyperlink r:id="rId11" w:history="1">
              <w:r w:rsidR="007B1360">
                <w:rPr>
                  <w:rStyle w:val="Hypertextovodkaz"/>
                </w:rPr>
                <w:t>xxxxxxxxxxxxxx</w:t>
              </w:r>
            </w:hyperlink>
            <w:r w:rsidR="00BF21A0">
              <w:t xml:space="preserve"> </w:t>
            </w: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3BAD2F5" w:rsidR="004B184A" w:rsidRPr="0090779C" w:rsidRDefault="004B184A" w:rsidP="004B184A">
            <w:pPr>
              <w:pStyle w:val="Tab"/>
            </w:pPr>
            <w:hyperlink r:id="rId12" w:history="1">
              <w:r w:rsidR="007B1360">
                <w:rPr>
                  <w:rStyle w:val="Hypertextovodkaz"/>
                </w:rPr>
                <w:t>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E1F0C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E1F0C" w:rsidRPr="0090779C" w:rsidRDefault="004E1F0C" w:rsidP="004E1F0C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E1F0C" w:rsidRPr="0090779C" w:rsidRDefault="004E1F0C" w:rsidP="004E1F0C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0F6F308" w14:textId="77777777" w:rsidR="004E1F0C" w:rsidRPr="005A7181" w:rsidRDefault="004E1F0C" w:rsidP="004E1F0C">
            <w:pPr>
              <w:pStyle w:val="Tab"/>
              <w:rPr>
                <w:highlight w:val="lightGray"/>
              </w:rPr>
            </w:pPr>
            <w:r>
              <w:t>Na Záhonech 27/884, 141 00 Praha 4 - Michle</w:t>
            </w:r>
          </w:p>
          <w:p w14:paraId="6F3DE89D" w14:textId="5CD65398" w:rsidR="004E1F0C" w:rsidRPr="0070184C" w:rsidRDefault="004E1F0C" w:rsidP="004E1F0C">
            <w:pPr>
              <w:pStyle w:val="Tab"/>
            </w:pPr>
            <w:r>
              <w:t>k rukám Zástupce konzultanta</w:t>
            </w:r>
          </w:p>
        </w:tc>
      </w:tr>
      <w:tr w:rsidR="004E1F0C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E1F0C" w:rsidRPr="0090779C" w:rsidRDefault="004E1F0C" w:rsidP="004E1F0C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E1F0C" w:rsidRPr="0090779C" w:rsidRDefault="004E1F0C" w:rsidP="004E1F0C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FE47D0F" w14:textId="77777777" w:rsidR="004E1F0C" w:rsidRDefault="004E1F0C" w:rsidP="004E1F0C">
            <w:pPr>
              <w:pStyle w:val="Tab"/>
            </w:pPr>
            <w:r>
              <w:t>wznpij7</w:t>
            </w:r>
          </w:p>
          <w:p w14:paraId="7E66CE84" w14:textId="0B9E75EE" w:rsidR="004E1F0C" w:rsidRPr="009E61E3" w:rsidRDefault="004E1F0C" w:rsidP="004E1F0C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Pr="007029B2">
              <w:t>Zástupce konzultanta</w:t>
            </w:r>
          </w:p>
        </w:tc>
      </w:tr>
      <w:tr w:rsidR="004E1F0C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E1F0C" w:rsidRPr="0090779C" w:rsidRDefault="004E1F0C" w:rsidP="004E1F0C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E1F0C" w:rsidRPr="0090779C" w:rsidRDefault="004E1F0C" w:rsidP="004E1F0C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11317C33" w:rsidR="004E1F0C" w:rsidRPr="0090779C" w:rsidRDefault="007B1360" w:rsidP="004E1F0C">
            <w:pPr>
              <w:pStyle w:val="Tab"/>
            </w:pPr>
            <w:r>
              <w:t>xxxxxxxxxxxxxxx</w:t>
            </w:r>
          </w:p>
        </w:tc>
      </w:tr>
      <w:tr w:rsidR="004E1F0C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E1F0C" w:rsidRPr="0090779C" w:rsidRDefault="004E1F0C" w:rsidP="004E1F0C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E1F0C" w:rsidRPr="0090779C" w:rsidRDefault="004E1F0C" w:rsidP="004E1F0C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98ADC42" w:rsidR="004E1F0C" w:rsidRPr="0090779C" w:rsidRDefault="007B1360" w:rsidP="004E1F0C">
            <w:pPr>
              <w:pStyle w:val="Tab"/>
            </w:pPr>
            <w:r>
              <w:t>xxxxxxxxxxxxxxxxxx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E74E593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7B1360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24B4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2371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4511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1C33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1F0C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6F3E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41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1360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2EF2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5C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097C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5C97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5CF1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941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5ED9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053B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010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jirova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2025-05-13T10:54:00Z</dcterms:created>
  <dcterms:modified xsi:type="dcterms:W3CDTF">2025-05-13T10:54:00Z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