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1240700163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jc w:val="left"/>
        <w:rPr>
          <w:sz w:val="3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jc w:val="left"/>
      </w:pPr>
    </w:p>
    <w:p>
      <w:pPr>
        <w:pStyle w:val="Heading2"/>
        <w:spacing w:before="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jc w:val="left"/>
      </w:pPr>
      <w:r>
        <w:rPr/>
        <w:t>obec</w:t>
      </w:r>
      <w:r>
        <w:rPr>
          <w:spacing w:val="-5"/>
        </w:rPr>
        <w:t> </w:t>
      </w:r>
      <w:r>
        <w:rPr/>
        <w:t>Staré</w:t>
      </w:r>
      <w:r>
        <w:rPr>
          <w:spacing w:val="-5"/>
        </w:rPr>
        <w:t> </w:t>
      </w:r>
      <w:r>
        <w:rPr>
          <w:spacing w:val="-2"/>
        </w:rPr>
        <w:t>Hobzí</w:t>
      </w:r>
    </w:p>
    <w:p>
      <w:pPr>
        <w:pStyle w:val="BodyText"/>
        <w:tabs>
          <w:tab w:pos="3262" w:val="left" w:leader="none"/>
        </w:tabs>
        <w:ind w:left="382" w:right="1319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Staré</w:t>
      </w:r>
      <w:r>
        <w:rPr>
          <w:spacing w:val="-5"/>
        </w:rPr>
        <w:t> </w:t>
      </w:r>
      <w:r>
        <w:rPr/>
        <w:t>Hobzí,</w:t>
      </w:r>
      <w:r>
        <w:rPr>
          <w:spacing w:val="-2"/>
        </w:rPr>
        <w:t> </w:t>
      </w:r>
      <w:r>
        <w:rPr/>
        <w:t>Staré</w:t>
      </w:r>
      <w:r>
        <w:rPr>
          <w:spacing w:val="-6"/>
        </w:rPr>
        <w:t> </w:t>
      </w:r>
      <w:r>
        <w:rPr/>
        <w:t>Hobzí</w:t>
      </w:r>
      <w:r>
        <w:rPr>
          <w:spacing w:val="-5"/>
        </w:rPr>
        <w:t> </w:t>
      </w:r>
      <w:r>
        <w:rPr/>
        <w:t>35,</w:t>
      </w:r>
      <w:r>
        <w:rPr>
          <w:spacing w:val="-3"/>
        </w:rPr>
        <w:t> </w:t>
      </w:r>
      <w:r>
        <w:rPr/>
        <w:t>378</w:t>
      </w:r>
      <w:r>
        <w:rPr>
          <w:spacing w:val="-3"/>
        </w:rPr>
        <w:t> </w:t>
      </w:r>
      <w:r>
        <w:rPr/>
        <w:t>71</w:t>
      </w:r>
      <w:r>
        <w:rPr>
          <w:spacing w:val="-3"/>
        </w:rPr>
        <w:t> </w:t>
      </w:r>
      <w:r>
        <w:rPr/>
        <w:t>Staré</w:t>
      </w:r>
      <w:r>
        <w:rPr>
          <w:spacing w:val="-3"/>
        </w:rPr>
        <w:t> </w:t>
      </w:r>
      <w:r>
        <w:rPr/>
        <w:t>Hobzí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00247481</w:t>
      </w:r>
    </w:p>
    <w:p>
      <w:pPr>
        <w:pStyle w:val="BodyText"/>
        <w:tabs>
          <w:tab w:pos="3262" w:val="left" w:leader="none"/>
        </w:tabs>
        <w:spacing w:line="264" w:lineRule="exact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Milanem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k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3315251/0710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1240700163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7.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68"/>
        <w:jc w:val="both"/>
      </w:pPr>
      <w:r>
        <w:rPr/>
        <w:t>„Rekonstrukce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intenzifikace</w:t>
      </w:r>
      <w:r>
        <w:rPr>
          <w:spacing w:val="-7"/>
        </w:rPr>
        <w:t> </w:t>
      </w:r>
      <w:r>
        <w:rPr/>
        <w:t>ČOV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Staré</w:t>
      </w:r>
      <w:r>
        <w:rPr>
          <w:spacing w:val="-8"/>
        </w:rPr>
        <w:t> </w:t>
      </w:r>
      <w:r>
        <w:rPr>
          <w:spacing w:val="-2"/>
        </w:rPr>
        <w:t>Hobzí“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455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415,70 Kč </w:t>
      </w:r>
      <w:r>
        <w:rPr>
          <w:sz w:val="20"/>
        </w:rPr>
        <w:t>(slovy: čtyři milióny čtyři sta padesát pět tisíc čtyři sta patnáct korun českých a sedmdesát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14 851 385,68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30,00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6"/>
          <w:sz w:val="20"/>
        </w:rPr>
        <w:t> </w:t>
      </w:r>
      <w:r>
        <w:rPr>
          <w:sz w:val="20"/>
        </w:rPr>
        <w:t>účel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8"/>
          <w:sz w:val="20"/>
        </w:rPr>
        <w:t> </w:t>
      </w:r>
      <w:r>
        <w:rPr>
          <w:sz w:val="20"/>
        </w:rPr>
        <w:t>„Rekonstrukce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intenzifikace</w:t>
      </w:r>
      <w:r>
        <w:rPr>
          <w:spacing w:val="36"/>
          <w:sz w:val="20"/>
        </w:rPr>
        <w:t> </w:t>
      </w:r>
      <w:r>
        <w:rPr>
          <w:sz w:val="20"/>
        </w:rPr>
        <w:t>ČOV</w:t>
      </w:r>
      <w:r>
        <w:rPr>
          <w:spacing w:val="42"/>
          <w:sz w:val="20"/>
        </w:rPr>
        <w:t> </w:t>
      </w:r>
      <w:r>
        <w:rPr>
          <w:sz w:val="20"/>
        </w:rPr>
        <w:t>-</w:t>
      </w:r>
      <w:r>
        <w:rPr>
          <w:spacing w:val="39"/>
          <w:sz w:val="20"/>
        </w:rPr>
        <w:t> </w:t>
      </w:r>
      <w:r>
        <w:rPr>
          <w:sz w:val="20"/>
        </w:rPr>
        <w:t>Staré</w:t>
      </w:r>
      <w:r>
        <w:rPr>
          <w:spacing w:val="36"/>
          <w:sz w:val="20"/>
        </w:rPr>
        <w:t> </w:t>
      </w:r>
      <w:r>
        <w:rPr>
          <w:sz w:val="20"/>
        </w:rPr>
        <w:t>Hobzí“</w:t>
      </w:r>
      <w:r>
        <w:rPr>
          <w:spacing w:val="35"/>
          <w:sz w:val="20"/>
        </w:rPr>
        <w:t> </w:t>
      </w:r>
      <w:r>
        <w:rPr>
          <w:sz w:val="20"/>
        </w:rPr>
        <w:t>tím,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provedena</w:t>
      </w:r>
    </w:p>
    <w:p>
      <w:pPr>
        <w:pStyle w:val="BodyText"/>
        <w:spacing w:before="1"/>
        <w:ind w:left="948"/>
        <w:jc w:val="left"/>
      </w:pP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5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1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intenzifikací</w:t>
      </w:r>
      <w:r>
        <w:rPr>
          <w:spacing w:val="-8"/>
          <w:sz w:val="20"/>
        </w:rPr>
        <w:t> </w:t>
      </w:r>
      <w:r>
        <w:rPr>
          <w:sz w:val="20"/>
        </w:rPr>
        <w:t>čistírny</w:t>
      </w:r>
      <w:r>
        <w:rPr>
          <w:spacing w:val="-8"/>
          <w:sz w:val="20"/>
        </w:rPr>
        <w:t> </w:t>
      </w:r>
      <w:r>
        <w:rPr>
          <w:sz w:val="20"/>
        </w:rPr>
        <w:t>odpadních</w:t>
      </w:r>
      <w:r>
        <w:rPr>
          <w:spacing w:val="-7"/>
          <w:sz w:val="20"/>
        </w:rPr>
        <w:t> </w:t>
      </w:r>
      <w:r>
        <w:rPr>
          <w:sz w:val="20"/>
        </w:rPr>
        <w:t>vod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kapacitu</w:t>
      </w:r>
      <w:r>
        <w:rPr>
          <w:spacing w:val="-4"/>
          <w:sz w:val="20"/>
        </w:rPr>
        <w:t> </w:t>
      </w:r>
      <w:r>
        <w:rPr>
          <w:sz w:val="20"/>
        </w:rPr>
        <w:t>450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EO,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5"/>
          <w:sz w:val="20"/>
        </w:rPr>
        <w:t> </w:t>
      </w:r>
      <w:r>
        <w:rPr>
          <w:sz w:val="20"/>
        </w:rPr>
        <w:t>vyhodnocení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ČOV</w:t>
      </w:r>
      <w:r>
        <w:rPr>
          <w:spacing w:val="-3"/>
          <w:sz w:val="20"/>
        </w:rPr>
        <w:t> </w:t>
      </w:r>
      <w:r>
        <w:rPr>
          <w:sz w:val="20"/>
        </w:rPr>
        <w:t>Staré</w:t>
      </w:r>
      <w:r>
        <w:rPr>
          <w:spacing w:val="-5"/>
          <w:sz w:val="20"/>
        </w:rPr>
        <w:t> </w:t>
      </w:r>
      <w:r>
        <w:rPr>
          <w:sz w:val="20"/>
        </w:rPr>
        <w:t>Hobzí </w:t>
      </w:r>
      <w:r>
        <w:rPr>
          <w:position w:val="2"/>
          <w:sz w:val="20"/>
        </w:rPr>
        <w:t>odstraňováno navíc znečištění 0,48 t/rok 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7"/>
          <w:sz w:val="20"/>
        </w:rPr>
        <w:t> </w:t>
      </w:r>
      <w:r>
        <w:rPr>
          <w:sz w:val="20"/>
        </w:rPr>
        <w:t>po</w:t>
      </w:r>
      <w:r>
        <w:rPr>
          <w:spacing w:val="57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6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7"/>
          <w:sz w:val="20"/>
        </w:rPr>
        <w:t> </w:t>
      </w:r>
      <w:r>
        <w:rPr>
          <w:sz w:val="20"/>
        </w:rPr>
        <w:t>odpadních</w:t>
      </w:r>
      <w:r>
        <w:rPr>
          <w:spacing w:val="56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6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dodržovat</w:t>
      </w:r>
      <w:r>
        <w:rPr>
          <w:spacing w:val="53"/>
          <w:sz w:val="20"/>
        </w:rPr>
        <w:t> </w:t>
      </w:r>
      <w:r>
        <w:rPr>
          <w:sz w:val="20"/>
        </w:rPr>
        <w:t>povinnosti</w:t>
      </w:r>
      <w:r>
        <w:rPr>
          <w:spacing w:val="56"/>
          <w:sz w:val="20"/>
        </w:rPr>
        <w:t> </w:t>
      </w:r>
      <w:r>
        <w:rPr>
          <w:sz w:val="20"/>
        </w:rPr>
        <w:t>podle</w:t>
      </w:r>
      <w:r>
        <w:rPr>
          <w:spacing w:val="53"/>
          <w:sz w:val="20"/>
        </w:rPr>
        <w:t> </w:t>
      </w:r>
      <w:r>
        <w:rPr>
          <w:sz w:val="20"/>
        </w:rPr>
        <w:t>čl.</w:t>
      </w:r>
      <w:r>
        <w:rPr>
          <w:spacing w:val="53"/>
          <w:sz w:val="20"/>
        </w:rPr>
        <w:t> </w:t>
      </w:r>
      <w:r>
        <w:rPr>
          <w:sz w:val="20"/>
        </w:rPr>
        <w:t>10</w:t>
      </w:r>
      <w:r>
        <w:rPr>
          <w:spacing w:val="54"/>
          <w:sz w:val="20"/>
        </w:rPr>
        <w:t> </w:t>
      </w:r>
      <w:r>
        <w:rPr>
          <w:sz w:val="20"/>
        </w:rPr>
        <w:t>písm.</w:t>
      </w:r>
      <w:r>
        <w:rPr>
          <w:spacing w:val="56"/>
          <w:sz w:val="20"/>
        </w:rPr>
        <w:t> </w:t>
      </w:r>
      <w:r>
        <w:rPr>
          <w:sz w:val="20"/>
        </w:rPr>
        <w:t>v)</w:t>
      </w:r>
      <w:r>
        <w:rPr>
          <w:spacing w:val="52"/>
          <w:sz w:val="20"/>
        </w:rPr>
        <w:t> </w:t>
      </w:r>
      <w:r>
        <w:rPr>
          <w:sz w:val="20"/>
        </w:rPr>
        <w:t>Výzvy,</w:t>
      </w:r>
      <w:r>
        <w:rPr>
          <w:spacing w:val="54"/>
          <w:sz w:val="20"/>
        </w:rPr>
        <w:t> </w:t>
      </w:r>
      <w:r>
        <w:rPr>
          <w:sz w:val="20"/>
        </w:rPr>
        <w:t>tj.</w:t>
      </w:r>
      <w:r>
        <w:rPr>
          <w:spacing w:val="54"/>
          <w:sz w:val="20"/>
        </w:rPr>
        <w:t> </w:t>
      </w:r>
      <w:r>
        <w:rPr>
          <w:sz w:val="20"/>
        </w:rPr>
        <w:t>veškeré</w:t>
      </w:r>
      <w:r>
        <w:rPr>
          <w:spacing w:val="53"/>
          <w:sz w:val="20"/>
        </w:rPr>
        <w:t> </w:t>
      </w:r>
      <w:r>
        <w:rPr>
          <w:sz w:val="20"/>
        </w:rPr>
        <w:t>výdaje</w:t>
      </w:r>
      <w:r>
        <w:rPr>
          <w:spacing w:val="53"/>
          <w:sz w:val="20"/>
        </w:rPr>
        <w:t> </w:t>
      </w:r>
      <w:r>
        <w:rPr>
          <w:sz w:val="20"/>
        </w:rPr>
        <w:t>projektu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10/2026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5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18"/>
        <w:ind w:left="876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1" w:after="0"/>
        <w:ind w:left="876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1/2027</w:t>
      </w:r>
      <w:r>
        <w:rPr>
          <w:spacing w:val="-9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ZVA</w:t>
      </w:r>
    </w:p>
    <w:p>
      <w:pPr>
        <w:pStyle w:val="BodyText"/>
        <w:ind w:left="876"/>
      </w:pP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dále: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pravidla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u)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3"/>
          <w:sz w:val="20"/>
        </w:rPr>
        <w:t> </w:t>
      </w:r>
      <w:r>
        <w:rPr>
          <w:sz w:val="20"/>
        </w:rPr>
        <w:t>6,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d),</w:t>
      </w:r>
      <w:r>
        <w:rPr>
          <w:spacing w:val="3"/>
          <w:sz w:val="20"/>
        </w:rPr>
        <w:t> </w:t>
      </w:r>
      <w:r>
        <w:rPr>
          <w:sz w:val="20"/>
        </w:rPr>
        <w:t>h),</w:t>
      </w:r>
      <w:r>
        <w:rPr>
          <w:spacing w:val="3"/>
          <w:sz w:val="20"/>
        </w:rPr>
        <w:t> </w:t>
      </w:r>
      <w:r>
        <w:rPr>
          <w:sz w:val="20"/>
        </w:rPr>
        <w:t>i),</w:t>
      </w:r>
      <w:r>
        <w:rPr>
          <w:spacing w:val="4"/>
          <w:sz w:val="20"/>
        </w:rPr>
        <w:t> </w:t>
      </w:r>
      <w:r>
        <w:rPr>
          <w:sz w:val="20"/>
        </w:rPr>
        <w:t>j)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k)</w:t>
      </w:r>
    </w:p>
    <w:p>
      <w:pPr>
        <w:pStyle w:val="BodyText"/>
      </w:pPr>
      <w:r>
        <w:rPr>
          <w:w w:val="95"/>
        </w:rPr>
        <w:t>nebo</w:t>
      </w:r>
      <w:r>
        <w:rPr>
          <w:spacing w:val="7"/>
        </w:rPr>
        <w:t> </w:t>
      </w:r>
      <w:r>
        <w:rPr>
          <w:w w:val="95"/>
        </w:rPr>
        <w:t>podle</w:t>
      </w:r>
      <w:r>
        <w:rPr>
          <w:spacing w:val="7"/>
        </w:rPr>
        <w:t> </w:t>
      </w:r>
      <w:r>
        <w:rPr>
          <w:w w:val="95"/>
        </w:rPr>
        <w:t>článku</w:t>
      </w:r>
      <w:r>
        <w:rPr>
          <w:spacing w:val="6"/>
        </w:rPr>
        <w:t> </w:t>
      </w:r>
      <w:r>
        <w:rPr>
          <w:w w:val="95"/>
        </w:rPr>
        <w:t>IV</w:t>
      </w:r>
      <w:r>
        <w:rPr>
          <w:spacing w:val="8"/>
        </w:rPr>
        <w:t> </w:t>
      </w:r>
      <w:r>
        <w:rPr>
          <w:w w:val="95"/>
        </w:rPr>
        <w:t>bodu</w:t>
      </w:r>
      <w:r>
        <w:rPr>
          <w:spacing w:val="10"/>
        </w:rPr>
        <w:t> </w:t>
      </w:r>
      <w:r>
        <w:rPr>
          <w:w w:val="95"/>
        </w:rPr>
        <w:t>2</w:t>
      </w:r>
      <w:r>
        <w:rPr>
          <w:spacing w:val="6"/>
        </w:rPr>
        <w:t> </w:t>
      </w:r>
      <w:r>
        <w:rPr>
          <w:w w:val="95"/>
        </w:rPr>
        <w:t>písm.</w:t>
      </w:r>
      <w:r>
        <w:rPr>
          <w:spacing w:val="9"/>
        </w:rPr>
        <w:t> </w:t>
      </w:r>
      <w:r>
        <w:rPr>
          <w:w w:val="95"/>
        </w:rPr>
        <w:t>a)</w:t>
      </w:r>
      <w:r>
        <w:rPr>
          <w:spacing w:val="9"/>
        </w:rPr>
        <w:t> </w:t>
      </w:r>
      <w:r>
        <w:rPr>
          <w:w w:val="95"/>
        </w:rPr>
        <w:t>nebo</w:t>
      </w:r>
      <w:r>
        <w:rPr>
          <w:spacing w:val="11"/>
        </w:rPr>
        <w:t> </w:t>
      </w:r>
      <w:r>
        <w:rPr>
          <w:w w:val="95"/>
        </w:rPr>
        <w:t>c)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5"/>
        </w:rPr>
        <w:t> </w:t>
      </w:r>
      <w:r>
        <w:rPr>
          <w:w w:val="95"/>
        </w:rPr>
        <w:t>postiženo</w:t>
      </w:r>
      <w:r>
        <w:rPr>
          <w:spacing w:val="7"/>
        </w:rPr>
        <w:t> </w:t>
      </w:r>
      <w:r>
        <w:rPr>
          <w:w w:val="95"/>
        </w:rPr>
        <w:t>odvodem</w:t>
      </w:r>
      <w:r>
        <w:rPr>
          <w:spacing w:val="8"/>
        </w:rPr>
        <w:t> </w:t>
      </w:r>
      <w:r>
        <w:rPr>
          <w:w w:val="95"/>
        </w:rPr>
        <w:t>ve</w:t>
      </w:r>
      <w:r>
        <w:rPr>
          <w:spacing w:val="4"/>
        </w:rPr>
        <w:t> </w:t>
      </w:r>
      <w:r>
        <w:rPr>
          <w:w w:val="95"/>
        </w:rPr>
        <w:t>výši</w:t>
      </w:r>
      <w:r>
        <w:rPr>
          <w:spacing w:val="6"/>
        </w:rPr>
        <w:t> </w:t>
      </w:r>
      <w:r>
        <w:rPr>
          <w:w w:val="95"/>
        </w:rPr>
        <w:t>odpovídající</w:t>
      </w:r>
      <w:r>
        <w:rPr>
          <w:spacing w:val="9"/>
        </w:rPr>
        <w:t> </w:t>
      </w:r>
      <w:r>
        <w:rPr>
          <w:spacing w:val="-2"/>
          <w:w w:val="95"/>
        </w:rPr>
        <w:t>neoprávněně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použitým</w:t>
      </w:r>
      <w:r>
        <w:rPr>
          <w:spacing w:val="-10"/>
        </w:rPr>
        <w:t> </w:t>
      </w: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before="1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19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231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9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samostatného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0" w:after="0"/>
        <w:ind w:left="809" w:right="110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40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23"/>
          <w:sz w:val="20"/>
        </w:rPr>
        <w:t> </w:t>
      </w:r>
      <w:r>
        <w:rPr>
          <w:sz w:val="20"/>
        </w:rPr>
        <w:t>(rekonstruované)</w:t>
      </w:r>
      <w:r>
        <w:rPr>
          <w:spacing w:val="24"/>
          <w:sz w:val="20"/>
        </w:rPr>
        <w:t> </w:t>
      </w:r>
      <w:r>
        <w:rPr>
          <w:sz w:val="20"/>
        </w:rPr>
        <w:t>s</w:t>
      </w:r>
      <w:r>
        <w:rPr>
          <w:spacing w:val="23"/>
          <w:sz w:val="20"/>
        </w:rPr>
        <w:t> </w:t>
      </w:r>
      <w:r>
        <w:rPr>
          <w:sz w:val="20"/>
        </w:rPr>
        <w:t>podporou</w:t>
      </w:r>
      <w:r>
        <w:rPr>
          <w:spacing w:val="24"/>
          <w:sz w:val="20"/>
        </w:rPr>
        <w:t> </w:t>
      </w:r>
      <w:r>
        <w:rPr>
          <w:sz w:val="20"/>
        </w:rPr>
        <w:t>poskytnutou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</w:t>
      </w:r>
      <w:r>
        <w:rPr>
          <w:spacing w:val="24"/>
          <w:sz w:val="20"/>
        </w:rPr>
        <w:t> </w:t>
      </w:r>
      <w:r>
        <w:rPr>
          <w:sz w:val="20"/>
        </w:rPr>
        <w:t>(podpořená</w:t>
      </w:r>
      <w:r>
        <w:rPr>
          <w:spacing w:val="23"/>
          <w:sz w:val="20"/>
        </w:rPr>
        <w:t> </w:t>
      </w:r>
      <w:r>
        <w:rPr>
          <w:sz w:val="20"/>
        </w:rPr>
        <w:t>infrastruktura) a</w:t>
      </w:r>
      <w:r>
        <w:rPr>
          <w:spacing w:val="-3"/>
          <w:sz w:val="20"/>
        </w:rPr>
        <w:t> </w:t>
      </w:r>
      <w:r>
        <w:rPr>
          <w:sz w:val="20"/>
        </w:rPr>
        <w:t>veškerá další infrastruktura provozovaná v této složce na území relevantní obce (podrobněji viz Metodika) společně s podpořenou infrastrukturou v rámci podpořeného samostatného modelu </w:t>
      </w:r>
      <w:r>
        <w:rPr>
          <w:spacing w:val="-2"/>
          <w:sz w:val="20"/>
        </w:rPr>
        <w:t>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6"/>
          <w:sz w:val="20"/>
        </w:rPr>
        <w:t> </w:t>
      </w:r>
      <w:r>
        <w:rPr>
          <w:sz w:val="20"/>
        </w:rPr>
        <w:t>manuálem</w:t>
      </w:r>
      <w:r>
        <w:rPr>
          <w:spacing w:val="38"/>
          <w:sz w:val="20"/>
        </w:rPr>
        <w:t> </w:t>
      </w:r>
      <w:r>
        <w:rPr>
          <w:sz w:val="20"/>
        </w:rPr>
        <w:t>k Nástroji</w:t>
      </w:r>
      <w:r>
        <w:rPr>
          <w:spacing w:val="36"/>
          <w:sz w:val="20"/>
        </w:rPr>
        <w:t> </w:t>
      </w:r>
      <w:r>
        <w:rPr>
          <w:sz w:val="20"/>
        </w:rPr>
        <w:t>Udržitelnost</w:t>
      </w:r>
      <w:r>
        <w:rPr>
          <w:spacing w:val="38"/>
          <w:sz w:val="20"/>
        </w:rPr>
        <w:t> </w:t>
      </w:r>
      <w:r>
        <w:rPr>
          <w:sz w:val="20"/>
        </w:rPr>
        <w:t>včetně</w:t>
      </w:r>
      <w:r>
        <w:rPr>
          <w:spacing w:val="36"/>
          <w:sz w:val="20"/>
        </w:rPr>
        <w:t> </w:t>
      </w:r>
      <w:r>
        <w:rPr>
          <w:sz w:val="20"/>
        </w:rPr>
        <w:t>relevantních</w:t>
      </w:r>
      <w:r>
        <w:rPr>
          <w:spacing w:val="37"/>
          <w:sz w:val="20"/>
        </w:rPr>
        <w:t> </w:t>
      </w:r>
      <w:r>
        <w:rPr>
          <w:sz w:val="20"/>
        </w:rPr>
        <w:t>příloh.</w:t>
      </w:r>
      <w:r>
        <w:rPr>
          <w:spacing w:val="39"/>
          <w:sz w:val="20"/>
        </w:rPr>
        <w:t> </w:t>
      </w:r>
      <w:r>
        <w:rPr>
          <w:sz w:val="20"/>
        </w:rPr>
        <w:t>Nástroj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předložen</w:t>
      </w:r>
      <w:r>
        <w:rPr>
          <w:spacing w:val="37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</w:t>
      </w:r>
      <w:r>
        <w:rPr>
          <w:spacing w:val="-1"/>
          <w:sz w:val="20"/>
        </w:rPr>
        <w:t> </w:t>
      </w:r>
      <w:r>
        <w:rPr>
          <w:sz w:val="20"/>
        </w:rPr>
        <w:t>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3"/>
          <w:sz w:val="20"/>
        </w:rPr>
        <w:t> </w:t>
      </w:r>
      <w:r>
        <w:rPr>
          <w:sz w:val="20"/>
        </w:rPr>
        <w:t>Plánu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3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6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7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1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11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2025-05-02T07:59:59Z</dcterms:created>
  <dcterms:modified xsi:type="dcterms:W3CDTF">2025-05-02T07:59:59Z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