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2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464/2025</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02/2025</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“VD Janov, hráz - konstrukce v komoře uzávěrů”</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805"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805"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9"/>
        <w:keepNext w:val="0"/>
        <w:keepLines w:val="0"/>
        <w:widowControl w:val="0"/>
        <w:shd w:val="clear" w:color="auto" w:fill="auto"/>
        <w:bidi w:val="0"/>
        <w:spacing w:before="0" w:after="18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2"/>
        <w:keepNext/>
        <w:keepLines/>
        <w:widowControl w:val="0"/>
        <w:shd w:val="clear" w:color="auto" w:fill="auto"/>
        <w:bidi w:val="0"/>
        <w:spacing w:before="0" w:after="18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2"/>
        <w:keepNext/>
        <w:keepLines/>
        <w:widowControl w:val="0"/>
        <w:shd w:val="clear" w:color="auto" w:fill="auto"/>
        <w:tabs>
          <w:tab w:pos="2805"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2"/>
        <w:keepNext/>
        <w:keepLines/>
        <w:widowControl w:val="0"/>
        <w:shd w:val="clear" w:color="auto" w:fill="auto"/>
        <w:tabs>
          <w:tab w:pos="2805"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2"/>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(dále jen „objednatel“)</w:t>
      </w:r>
      <w:bookmarkEnd w:id="41"/>
      <w:bookmarkEnd w:id="42"/>
      <w:bookmarkEnd w:id="43"/>
    </w:p>
    <w:p>
      <w:pPr>
        <w:pStyle w:val="Style2"/>
        <w:keepNext/>
        <w:keepLines/>
        <w:widowControl w:val="0"/>
        <w:shd w:val="clear" w:color="auto" w:fill="auto"/>
        <w:bidi w:val="0"/>
        <w:spacing w:before="0" w:after="180" w:line="240" w:lineRule="auto"/>
        <w:ind w:left="0" w:right="0" w:firstLine="0"/>
        <w:jc w:val="left"/>
      </w:pPr>
      <w:bookmarkStart w:id="44" w:name="bookmark44"/>
      <w:bookmarkStart w:id="45" w:name="bookmark45"/>
      <w:bookmarkStart w:id="46" w:name="bookmark46"/>
      <w:r>
        <w:rPr>
          <w:b/>
          <w:bCs/>
          <w:color w:val="000000"/>
          <w:spacing w:val="0"/>
          <w:w w:val="100"/>
          <w:position w:val="0"/>
          <w:shd w:val="clear" w:color="auto" w:fill="auto"/>
          <w:lang w:val="cs-CZ" w:eastAsia="cs-CZ" w:bidi="cs-CZ"/>
        </w:rPr>
        <w:t>a</w:t>
      </w:r>
      <w:bookmarkEnd w:id="44"/>
      <w:bookmarkEnd w:id="45"/>
      <w:bookmarkEnd w:id="46"/>
    </w:p>
    <w:p>
      <w:pPr>
        <w:pStyle w:val="Style2"/>
        <w:keepNext/>
        <w:keepLines/>
        <w:widowControl w:val="0"/>
        <w:shd w:val="clear" w:color="auto" w:fill="auto"/>
        <w:tabs>
          <w:tab w:pos="2805" w:val="left"/>
        </w:tabs>
        <w:bidi w:val="0"/>
        <w:spacing w:before="0" w:after="0" w:line="240" w:lineRule="auto"/>
        <w:ind w:left="0" w:right="0" w:firstLine="0"/>
        <w:jc w:val="left"/>
      </w:pPr>
      <w:bookmarkStart w:id="47" w:name="bookmark47"/>
      <w:bookmarkStart w:id="48" w:name="bookmark48"/>
      <w:bookmarkStart w:id="49" w:name="bookmark49"/>
      <w:r>
        <w:rPr>
          <w:b/>
          <w:bCs/>
          <w:color w:val="000000"/>
          <w:spacing w:val="0"/>
          <w:w w:val="100"/>
          <w:position w:val="0"/>
          <w:shd w:val="clear" w:color="auto" w:fill="auto"/>
          <w:lang w:val="cs-CZ" w:eastAsia="cs-CZ" w:bidi="cs-CZ"/>
        </w:rPr>
        <w:t>zhotovitel:</w:t>
        <w:tab/>
        <w:t>BOS - Radovan Vítámvás, spol. s r.o.</w:t>
      </w:r>
      <w:bookmarkEnd w:id="47"/>
      <w:bookmarkEnd w:id="48"/>
      <w:bookmarkEnd w:id="49"/>
    </w:p>
    <w:p>
      <w:pPr>
        <w:pStyle w:val="Style2"/>
        <w:keepNext/>
        <w:keepLines/>
        <w:widowControl w:val="0"/>
        <w:shd w:val="clear" w:color="auto" w:fill="auto"/>
        <w:tabs>
          <w:tab w:pos="2805" w:val="left"/>
        </w:tabs>
        <w:bidi w:val="0"/>
        <w:spacing w:before="0" w:after="0" w:line="240" w:lineRule="auto"/>
        <w:ind w:left="0" w:right="0" w:firstLine="0"/>
        <w:jc w:val="left"/>
      </w:pPr>
      <w:bookmarkStart w:id="50" w:name="bookmark50"/>
      <w:bookmarkStart w:id="51" w:name="bookmark51"/>
      <w:bookmarkStart w:id="52" w:name="bookmark52"/>
      <w:r>
        <w:rPr>
          <w:b/>
          <w:bCs/>
          <w:color w:val="000000"/>
          <w:spacing w:val="0"/>
          <w:w w:val="100"/>
          <w:position w:val="0"/>
          <w:shd w:val="clear" w:color="auto" w:fill="auto"/>
          <w:lang w:val="cs-CZ" w:eastAsia="cs-CZ" w:bidi="cs-CZ"/>
        </w:rPr>
        <w:t>sídlo:</w:t>
        <w:tab/>
      </w:r>
      <w:r>
        <w:rPr>
          <w:color w:val="000000"/>
          <w:spacing w:val="0"/>
          <w:w w:val="100"/>
          <w:position w:val="0"/>
          <w:shd w:val="clear" w:color="auto" w:fill="auto"/>
          <w:lang w:val="cs-CZ" w:eastAsia="cs-CZ" w:bidi="cs-CZ"/>
        </w:rPr>
        <w:t>Alfonse Muchy 4996, Chomutov 430 01</w:t>
      </w:r>
      <w:bookmarkEnd w:id="50"/>
      <w:bookmarkEnd w:id="51"/>
      <w:bookmarkEnd w:id="52"/>
    </w:p>
    <w:p>
      <w:pPr>
        <w:pStyle w:val="Style2"/>
        <w:keepNext/>
        <w:keepLines/>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oprávněn(i) k podpisu smlouvy:</w:t>
      </w:r>
      <w:bookmarkEnd w:id="53"/>
      <w:bookmarkEnd w:id="54"/>
      <w:bookmarkEnd w:id="55"/>
    </w:p>
    <w:p>
      <w:pPr>
        <w:pStyle w:val="Style2"/>
        <w:keepNext/>
        <w:keepLines/>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oprávněn(i) jednat o věcech smluvních:</w:t>
      </w:r>
      <w:bookmarkEnd w:id="56"/>
      <w:bookmarkEnd w:id="57"/>
      <w:bookmarkEnd w:id="58"/>
    </w:p>
    <w:p>
      <w:pPr>
        <w:pStyle w:val="Style2"/>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bookmarkStart w:id="62" w:name="bookmark62"/>
      <w:r>
        <w:rPr>
          <w:color w:val="000000"/>
          <w:spacing w:val="0"/>
          <w:w w:val="100"/>
          <w:position w:val="0"/>
          <w:shd w:val="clear" w:color="auto" w:fill="auto"/>
          <w:lang w:val="cs-CZ" w:eastAsia="cs-CZ" w:bidi="cs-CZ"/>
        </w:rPr>
        <w:t>oprávněn(i) jednat o věcech technických:</w:t>
      </w:r>
      <w:bookmarkEnd w:id="59"/>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2"/>
        <w:keepNext/>
        <w:keepLines/>
        <w:widowControl w:val="0"/>
        <w:shd w:val="clear" w:color="auto" w:fill="auto"/>
        <w:tabs>
          <w:tab w:pos="2805"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25412396</w:t>
      </w:r>
      <w:bookmarkEnd w:id="69"/>
      <w:bookmarkEnd w:id="70"/>
      <w:bookmarkEnd w:id="71"/>
    </w:p>
    <w:p>
      <w:pPr>
        <w:pStyle w:val="Style2"/>
        <w:keepNext/>
        <w:keepLines/>
        <w:widowControl w:val="0"/>
        <w:shd w:val="clear" w:color="auto" w:fill="auto"/>
        <w:tabs>
          <w:tab w:pos="2805"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CZ25412396</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tabs>
          <w:tab w:pos="2805" w:val="left"/>
        </w:tabs>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u Krajského soudu v Ústí nad Labem, oddíl C, vložka16431 tel.:</w:t>
        <w:tab/>
        <w:t>e-mail:</w:t>
      </w:r>
      <w:bookmarkEnd w:id="81"/>
      <w:bookmarkEnd w:id="82"/>
      <w:bookmarkEnd w:id="83"/>
    </w:p>
    <w:p>
      <w:pPr>
        <w:pStyle w:val="Style9"/>
        <w:keepNext w:val="0"/>
        <w:keepLines w:val="0"/>
        <w:widowControl w:val="0"/>
        <w:shd w:val="clear" w:color="auto" w:fill="auto"/>
        <w:bidi w:val="0"/>
        <w:spacing w:before="0" w:after="460" w:line="240" w:lineRule="auto"/>
        <w:ind w:left="0" w:right="0" w:firstLine="0"/>
        <w:jc w:val="left"/>
      </w:pPr>
      <w:bookmarkStart w:id="84" w:name="bookmark84"/>
      <w:bookmarkStart w:id="85" w:name="bookmark85"/>
      <w:r>
        <w:rPr>
          <w:color w:val="000000"/>
          <w:spacing w:val="0"/>
          <w:w w:val="100"/>
          <w:position w:val="0"/>
          <w:shd w:val="clear" w:color="auto" w:fill="auto"/>
          <w:lang w:val="cs-CZ" w:eastAsia="cs-CZ" w:bidi="cs-CZ"/>
        </w:rPr>
        <w:t>(dále jen „zhotovitel“)</w:t>
      </w:r>
      <w:bookmarkEnd w:id="84"/>
      <w:bookmarkEnd w:id="85"/>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right="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„VD Janov, hráz - konstrukce v komoře uzávěrů” (dále jen „Veřejná zakázka“), ve kterém byla nabídka zhotovitele vyhodnocena jako ekonomicky nejvýhodnější.</w:t>
      </w:r>
      <w:bookmarkEnd w:id="86"/>
      <w:bookmarkEnd w:id="87"/>
      <w:bookmarkEnd w:id="89"/>
    </w:p>
    <w:p>
      <w:pPr>
        <w:pStyle w:val="Style2"/>
        <w:keepNext/>
        <w:keepLines/>
        <w:widowControl w:val="0"/>
        <w:numPr>
          <w:ilvl w:val="0"/>
          <w:numId w:val="1"/>
        </w:numPr>
        <w:shd w:val="clear" w:color="auto" w:fill="auto"/>
        <w:tabs>
          <w:tab w:pos="360" w:val="left"/>
        </w:tabs>
        <w:bidi w:val="0"/>
        <w:spacing w:before="0" w:after="180" w:line="240" w:lineRule="auto"/>
        <w:ind w:right="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Předmětem veřejné zakázky jsou stavební úpravy v komoře uzávěrů spodních výpustí VD Janov, které spočívají ve vybudování nového montážního otvoru nad uzávěry spodních výpustí, které propojí 1. NP podlaží strojovny s jejím 1. PP. Dále budou předmětem rekonstrukce výměny všech přístupových schodišť za nová, nové vybavení šachet průsaků žebříky s ochrannými koši.</w:t>
      </w:r>
      <w:bookmarkEnd w:id="90"/>
      <w:bookmarkEnd w:id="91"/>
      <w:bookmarkEnd w:id="93"/>
    </w:p>
    <w:p>
      <w:pPr>
        <w:pStyle w:val="Style2"/>
        <w:keepNext/>
        <w:keepLines/>
        <w:widowControl w:val="0"/>
        <w:numPr>
          <w:ilvl w:val="0"/>
          <w:numId w:val="1"/>
        </w:numPr>
        <w:shd w:val="clear" w:color="auto" w:fill="auto"/>
        <w:tabs>
          <w:tab w:pos="360" w:val="left"/>
        </w:tabs>
        <w:bidi w:val="0"/>
        <w:spacing w:before="0" w:after="180" w:line="240" w:lineRule="auto"/>
        <w:ind w:right="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projektové dokumentace: „VD Janov, hráz - konstrukce v komoře uzávěrů“, zpracovaná Sweco a.s.; Táborská 940/31; 140 16 Praha 4, IČO 26475081, ze 2/2024, která tvoří přílohu č. 2 této smlouvy.</w:t>
      </w:r>
      <w:bookmarkEnd w:id="94"/>
      <w:bookmarkEnd w:id="95"/>
      <w:bookmarkEnd w:id="97"/>
    </w:p>
    <w:p>
      <w:pPr>
        <w:pStyle w:val="Style2"/>
        <w:keepNext/>
        <w:keepLines/>
        <w:widowControl w:val="0"/>
        <w:shd w:val="clear" w:color="auto" w:fill="auto"/>
        <w:bidi w:val="0"/>
        <w:spacing w:before="0" w:after="180" w:line="240" w:lineRule="auto"/>
        <w:ind w:right="0" w:firstLine="20"/>
        <w:jc w:val="both"/>
      </w:pPr>
      <w:bookmarkStart w:id="100" w:name="bookmark100"/>
      <w:bookmarkStart w:id="98" w:name="bookmark98"/>
      <w:bookmarkStart w:id="99" w:name="bookmark99"/>
      <w:r>
        <w:rPr>
          <w:color w:val="000000"/>
          <w:spacing w:val="0"/>
          <w:w w:val="100"/>
          <w:position w:val="0"/>
          <w:shd w:val="clear" w:color="auto" w:fill="auto"/>
          <w:lang w:val="cs-CZ" w:eastAsia="cs-CZ" w:bidi="cs-CZ"/>
        </w:rPr>
        <w:t>Místo provádění díla: Vodní nádrž Janov – Loupnice, ř.km 9,565, k. ú. Loupnice, kraj Ústecký</w:t>
      </w:r>
      <w:bookmarkEnd w:id="100"/>
      <w:bookmarkEnd w:id="98"/>
      <w:bookmarkEnd w:id="99"/>
    </w:p>
    <w:p>
      <w:pPr>
        <w:pStyle w:val="Style2"/>
        <w:keepNext/>
        <w:keepLines/>
        <w:widowControl w:val="0"/>
        <w:numPr>
          <w:ilvl w:val="0"/>
          <w:numId w:val="1"/>
        </w:numPr>
        <w:shd w:val="clear" w:color="auto" w:fill="auto"/>
        <w:tabs>
          <w:tab w:pos="360" w:val="left"/>
        </w:tabs>
        <w:bidi w:val="0"/>
        <w:spacing w:before="0" w:after="180" w:line="240" w:lineRule="auto"/>
        <w:ind w:left="0" w:right="0" w:firstLine="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Za předmět díla se dále považuje:</w:t>
      </w:r>
      <w:bookmarkEnd w:id="101"/>
      <w:bookmarkEnd w:id="102"/>
      <w:bookmarkEnd w:id="104"/>
    </w:p>
    <w:p>
      <w:pPr>
        <w:pStyle w:val="Style2"/>
        <w:keepNext/>
        <w:keepLines/>
        <w:widowControl w:val="0"/>
        <w:numPr>
          <w:ilvl w:val="0"/>
          <w:numId w:val="3"/>
        </w:numPr>
        <w:shd w:val="clear" w:color="auto" w:fill="auto"/>
        <w:tabs>
          <w:tab w:pos="1017" w:val="left"/>
        </w:tabs>
        <w:bidi w:val="0"/>
        <w:spacing w:before="0" w:after="0" w:line="240" w:lineRule="auto"/>
        <w:ind w:left="1020" w:right="0" w:hanging="62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zpracování podrobného harmonogramu postupu prací, který bude schválen objednatelem,</w:t>
      </w:r>
      <w:bookmarkEnd w:id="105"/>
      <w:bookmarkEnd w:id="106"/>
      <w:bookmarkEnd w:id="108"/>
    </w:p>
    <w:p>
      <w:pPr>
        <w:pStyle w:val="Style2"/>
        <w:keepNext/>
        <w:keepLines/>
        <w:widowControl w:val="0"/>
        <w:numPr>
          <w:ilvl w:val="0"/>
          <w:numId w:val="3"/>
        </w:numPr>
        <w:shd w:val="clear" w:color="auto" w:fill="auto"/>
        <w:tabs>
          <w:tab w:pos="1017" w:val="left"/>
        </w:tabs>
        <w:bidi w:val="0"/>
        <w:spacing w:before="0" w:after="0" w:line="240" w:lineRule="auto"/>
        <w:ind w:left="0" w:right="0" w:firstLine="38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ověření a případná aktualizace výskytu a uložení podzemních zařízení</w:t>
      </w:r>
      <w:bookmarkEnd w:id="109"/>
      <w:bookmarkEnd w:id="110"/>
      <w:bookmarkEnd w:id="112"/>
    </w:p>
    <w:p>
      <w:pPr>
        <w:pStyle w:val="Style2"/>
        <w:keepNext/>
        <w:keepLines/>
        <w:widowControl w:val="0"/>
        <w:numPr>
          <w:ilvl w:val="0"/>
          <w:numId w:val="3"/>
        </w:numPr>
        <w:shd w:val="clear" w:color="auto" w:fill="auto"/>
        <w:tabs>
          <w:tab w:pos="1128" w:val="left"/>
        </w:tabs>
        <w:bidi w:val="0"/>
        <w:spacing w:before="0" w:after="0" w:line="240" w:lineRule="auto"/>
        <w:ind w:left="1020" w:right="0" w:hanging="62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zpracování a předání dokumentace skutečného provedení stavby včetně geodetického zaměření skutečného provedení (1 paré v listinné podobě, 1x v digitální podobě ve formátu.pdf a 1x v digitální podobě v editovatelných formátech .docx, .xls, .dwg apod.), vč. zákresu geodetického zaměření skutečného provedení do katastrální mapy,</w:t>
      </w:r>
      <w:bookmarkEnd w:id="113"/>
      <w:bookmarkEnd w:id="114"/>
      <w:bookmarkEnd w:id="116"/>
    </w:p>
    <w:p>
      <w:pPr>
        <w:pStyle w:val="Style2"/>
        <w:keepNext/>
        <w:keepLines/>
        <w:widowControl w:val="0"/>
        <w:numPr>
          <w:ilvl w:val="0"/>
          <w:numId w:val="3"/>
        </w:numPr>
        <w:shd w:val="clear" w:color="auto" w:fill="auto"/>
        <w:tabs>
          <w:tab w:pos="1017" w:val="left"/>
        </w:tabs>
        <w:bidi w:val="0"/>
        <w:spacing w:before="0" w:after="0" w:line="240" w:lineRule="auto"/>
        <w:ind w:left="1020" w:right="0" w:hanging="62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17"/>
      <w:bookmarkEnd w:id="118"/>
      <w:bookmarkEnd w:id="120"/>
    </w:p>
    <w:p>
      <w:pPr>
        <w:pStyle w:val="Style2"/>
        <w:keepNext/>
        <w:keepLines/>
        <w:widowControl w:val="0"/>
        <w:numPr>
          <w:ilvl w:val="0"/>
          <w:numId w:val="3"/>
        </w:numPr>
        <w:shd w:val="clear" w:color="auto" w:fill="auto"/>
        <w:tabs>
          <w:tab w:pos="1128" w:val="left"/>
        </w:tabs>
        <w:bidi w:val="0"/>
        <w:spacing w:before="0" w:after="0" w:line="240" w:lineRule="auto"/>
        <w:ind w:left="1020" w:right="0" w:hanging="62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21"/>
      <w:bookmarkEnd w:id="122"/>
      <w:bookmarkEnd w:id="124"/>
    </w:p>
    <w:p>
      <w:pPr>
        <w:pStyle w:val="Style2"/>
        <w:keepNext/>
        <w:keepLines/>
        <w:widowControl w:val="0"/>
        <w:numPr>
          <w:ilvl w:val="0"/>
          <w:numId w:val="3"/>
        </w:numPr>
        <w:shd w:val="clear" w:color="auto" w:fill="auto"/>
        <w:tabs>
          <w:tab w:pos="1128" w:val="left"/>
        </w:tabs>
        <w:bidi w:val="0"/>
        <w:spacing w:before="0" w:after="0" w:line="240" w:lineRule="auto"/>
        <w:ind w:left="1020" w:right="0" w:hanging="62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25"/>
      <w:bookmarkEnd w:id="126"/>
      <w:bookmarkEnd w:id="128"/>
    </w:p>
    <w:p>
      <w:pPr>
        <w:pStyle w:val="Style2"/>
        <w:keepNext/>
        <w:keepLines/>
        <w:widowControl w:val="0"/>
        <w:numPr>
          <w:ilvl w:val="0"/>
          <w:numId w:val="3"/>
        </w:numPr>
        <w:shd w:val="clear" w:color="auto" w:fill="auto"/>
        <w:tabs>
          <w:tab w:pos="1017" w:val="left"/>
        </w:tabs>
        <w:bidi w:val="0"/>
        <w:spacing w:before="0" w:after="0" w:line="240" w:lineRule="auto"/>
        <w:ind w:left="1020" w:right="0" w:hanging="62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29"/>
      <w:bookmarkEnd w:id="130"/>
      <w:bookmarkEnd w:id="132"/>
    </w:p>
    <w:p>
      <w:pPr>
        <w:pStyle w:val="Style2"/>
        <w:keepNext/>
        <w:keepLines/>
        <w:widowControl w:val="0"/>
        <w:numPr>
          <w:ilvl w:val="0"/>
          <w:numId w:val="3"/>
        </w:numPr>
        <w:shd w:val="clear" w:color="auto" w:fill="auto"/>
        <w:tabs>
          <w:tab w:pos="1128" w:val="left"/>
        </w:tabs>
        <w:bidi w:val="0"/>
        <w:spacing w:before="0" w:after="0" w:line="240" w:lineRule="auto"/>
        <w:ind w:left="1020" w:right="0" w:hanging="62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33"/>
      <w:bookmarkEnd w:id="134"/>
      <w:bookmarkEnd w:id="136"/>
    </w:p>
    <w:p>
      <w:pPr>
        <w:pStyle w:val="Style2"/>
        <w:keepNext/>
        <w:keepLines/>
        <w:widowControl w:val="0"/>
        <w:numPr>
          <w:ilvl w:val="0"/>
          <w:numId w:val="3"/>
        </w:numPr>
        <w:shd w:val="clear" w:color="auto" w:fill="auto"/>
        <w:tabs>
          <w:tab w:pos="1128" w:val="left"/>
        </w:tabs>
        <w:bidi w:val="0"/>
        <w:spacing w:before="0" w:after="180" w:line="240" w:lineRule="auto"/>
        <w:ind w:left="1020" w:right="0" w:hanging="62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37"/>
      <w:bookmarkEnd w:id="138"/>
      <w:bookmarkEnd w:id="140"/>
    </w:p>
    <w:p>
      <w:pPr>
        <w:pStyle w:val="Style2"/>
        <w:keepNext/>
        <w:keepLines/>
        <w:widowControl w:val="0"/>
        <w:numPr>
          <w:ilvl w:val="0"/>
          <w:numId w:val="3"/>
        </w:numPr>
        <w:shd w:val="clear" w:color="auto" w:fill="auto"/>
        <w:tabs>
          <w:tab w:pos="1022" w:val="left"/>
        </w:tabs>
        <w:bidi w:val="0"/>
        <w:spacing w:before="0" w:after="0" w:line="240" w:lineRule="auto"/>
        <w:ind w:left="1020" w:right="0" w:hanging="60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zpracování vlastního plánu kontrol a zkoušek, který stanoví odpovědnou osobu za kontrolu a odebírání vzorků a provádění zkoušek ze strany zhotovitele. Plán bude předán ke schválení TDS. Plán bude podrobný a konkrétní</w:t>
      </w:r>
      <w:bookmarkEnd w:id="141"/>
      <w:bookmarkEnd w:id="142"/>
      <w:bookmarkEnd w:id="144"/>
    </w:p>
    <w:p>
      <w:pPr>
        <w:pStyle w:val="Style2"/>
        <w:keepNext/>
        <w:keepLines/>
        <w:widowControl w:val="0"/>
        <w:numPr>
          <w:ilvl w:val="0"/>
          <w:numId w:val="3"/>
        </w:numPr>
        <w:shd w:val="clear" w:color="auto" w:fill="auto"/>
        <w:tabs>
          <w:tab w:pos="1022" w:val="left"/>
        </w:tabs>
        <w:bidi w:val="0"/>
        <w:spacing w:before="0" w:after="0" w:line="240" w:lineRule="auto"/>
        <w:ind w:left="1020" w:right="0" w:hanging="60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45"/>
      <w:bookmarkEnd w:id="146"/>
      <w:bookmarkEnd w:id="148"/>
    </w:p>
    <w:p>
      <w:pPr>
        <w:pStyle w:val="Style2"/>
        <w:keepNext/>
        <w:keepLines/>
        <w:widowControl w:val="0"/>
        <w:numPr>
          <w:ilvl w:val="0"/>
          <w:numId w:val="3"/>
        </w:numPr>
        <w:shd w:val="clear" w:color="auto" w:fill="auto"/>
        <w:tabs>
          <w:tab w:pos="1022" w:val="left"/>
        </w:tabs>
        <w:bidi w:val="0"/>
        <w:spacing w:before="0" w:after="0" w:line="240" w:lineRule="auto"/>
        <w:ind w:left="1020" w:right="0" w:hanging="60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49"/>
      <w:bookmarkEnd w:id="150"/>
      <w:bookmarkEnd w:id="152"/>
    </w:p>
    <w:p>
      <w:pPr>
        <w:pStyle w:val="Style2"/>
        <w:keepNext/>
        <w:keepLines/>
        <w:widowControl w:val="0"/>
        <w:numPr>
          <w:ilvl w:val="0"/>
          <w:numId w:val="3"/>
        </w:numPr>
        <w:shd w:val="clear" w:color="auto" w:fill="auto"/>
        <w:tabs>
          <w:tab w:pos="1166" w:val="left"/>
        </w:tabs>
        <w:bidi w:val="0"/>
        <w:spacing w:before="0" w:after="0" w:line="240" w:lineRule="auto"/>
        <w:ind w:left="1020" w:right="0" w:hanging="60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53"/>
      <w:bookmarkEnd w:id="154"/>
      <w:bookmarkEnd w:id="156"/>
    </w:p>
    <w:p>
      <w:pPr>
        <w:pStyle w:val="Style2"/>
        <w:keepNext/>
        <w:keepLines/>
        <w:widowControl w:val="0"/>
        <w:numPr>
          <w:ilvl w:val="0"/>
          <w:numId w:val="3"/>
        </w:numPr>
        <w:shd w:val="clear" w:color="auto" w:fill="auto"/>
        <w:tabs>
          <w:tab w:pos="1022" w:val="left"/>
        </w:tabs>
        <w:bidi w:val="0"/>
        <w:spacing w:before="0" w:after="0" w:line="240" w:lineRule="auto"/>
        <w:ind w:left="1020" w:right="0" w:hanging="60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57"/>
      <w:bookmarkEnd w:id="158"/>
      <w:bookmarkEnd w:id="160"/>
    </w:p>
    <w:p>
      <w:pPr>
        <w:pStyle w:val="Style2"/>
        <w:keepNext/>
        <w:keepLines/>
        <w:widowControl w:val="0"/>
        <w:numPr>
          <w:ilvl w:val="0"/>
          <w:numId w:val="3"/>
        </w:numPr>
        <w:shd w:val="clear" w:color="auto" w:fill="auto"/>
        <w:tabs>
          <w:tab w:pos="1022" w:val="left"/>
        </w:tabs>
        <w:bidi w:val="0"/>
        <w:spacing w:before="0" w:after="0" w:line="240" w:lineRule="auto"/>
        <w:ind w:left="1020" w:right="0" w:hanging="60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61"/>
      <w:bookmarkEnd w:id="162"/>
      <w:bookmarkEnd w:id="164"/>
    </w:p>
    <w:p>
      <w:pPr>
        <w:pStyle w:val="Style2"/>
        <w:keepNext/>
        <w:keepLines/>
        <w:widowControl w:val="0"/>
        <w:numPr>
          <w:ilvl w:val="0"/>
          <w:numId w:val="3"/>
        </w:numPr>
        <w:shd w:val="clear" w:color="auto" w:fill="auto"/>
        <w:tabs>
          <w:tab w:pos="1022" w:val="left"/>
        </w:tabs>
        <w:bidi w:val="0"/>
        <w:spacing w:before="0" w:after="0" w:line="240" w:lineRule="auto"/>
        <w:ind w:left="1020" w:right="0" w:hanging="60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zpracování, úřední odsouhlasení a předání Plánu havarijních opatření zařízení staveniště a mechanizace a Povodňového plánu pro realizaci stavby. Tyto plány předá zhotovitel objednateli nejpozději v den předání staveniště ve dvou písemných vyhotoveních,</w:t>
      </w:r>
      <w:bookmarkEnd w:id="165"/>
      <w:bookmarkEnd w:id="166"/>
      <w:bookmarkEnd w:id="168"/>
    </w:p>
    <w:p>
      <w:pPr>
        <w:pStyle w:val="Style2"/>
        <w:keepNext/>
        <w:keepLines/>
        <w:widowControl w:val="0"/>
        <w:numPr>
          <w:ilvl w:val="0"/>
          <w:numId w:val="3"/>
        </w:numPr>
        <w:shd w:val="clear" w:color="auto" w:fill="auto"/>
        <w:tabs>
          <w:tab w:pos="1166" w:val="left"/>
        </w:tabs>
        <w:bidi w:val="0"/>
        <w:spacing w:before="0" w:after="200" w:line="240" w:lineRule="auto"/>
        <w:ind w:left="1020" w:right="0" w:hanging="60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69"/>
      <w:bookmarkEnd w:id="170"/>
      <w:bookmarkEnd w:id="172"/>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73"/>
      <w:bookmarkEnd w:id="174"/>
      <w:bookmarkEnd w:id="176"/>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77"/>
      <w:bookmarkEnd w:id="178"/>
      <w:bookmarkEnd w:id="180"/>
    </w:p>
    <w:p>
      <w:pPr>
        <w:pStyle w:val="Style2"/>
        <w:keepNext/>
        <w:keepLines/>
        <w:widowControl w:val="0"/>
        <w:numPr>
          <w:ilvl w:val="0"/>
          <w:numId w:val="1"/>
        </w:numPr>
        <w:shd w:val="clear" w:color="auto" w:fill="auto"/>
        <w:tabs>
          <w:tab w:pos="360" w:val="left"/>
        </w:tabs>
        <w:bidi w:val="0"/>
        <w:spacing w:before="0" w:after="0" w:line="240" w:lineRule="auto"/>
        <w:ind w:right="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Objednatel předá zhotoviteli staveniště (nebo jeho ucelenou část) prosté práv třetích osob.</w:t>
      </w:r>
      <w:bookmarkEnd w:id="181"/>
      <w:bookmarkEnd w:id="182"/>
      <w:bookmarkEnd w:id="184"/>
    </w:p>
    <w:p>
      <w:pPr>
        <w:pStyle w:val="Style2"/>
        <w:keepNext/>
        <w:keepLines/>
        <w:widowControl w:val="0"/>
        <w:shd w:val="clear" w:color="auto" w:fill="auto"/>
        <w:bidi w:val="0"/>
        <w:spacing w:before="0" w:after="200" w:line="240" w:lineRule="auto"/>
        <w:ind w:right="0" w:firstLine="40"/>
        <w:jc w:val="both"/>
      </w:pPr>
      <w:bookmarkStart w:id="185" w:name="bookmark185"/>
      <w:bookmarkStart w:id="186" w:name="bookmark186"/>
      <w:bookmarkStart w:id="187" w:name="bookmark187"/>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185"/>
      <w:bookmarkEnd w:id="186"/>
      <w:bookmarkEnd w:id="187"/>
    </w:p>
    <w:p>
      <w:pPr>
        <w:pStyle w:val="Style2"/>
        <w:keepNext/>
        <w:keepLines/>
        <w:widowControl w:val="0"/>
        <w:numPr>
          <w:ilvl w:val="0"/>
          <w:numId w:val="1"/>
        </w:numPr>
        <w:shd w:val="clear" w:color="auto" w:fill="auto"/>
        <w:tabs>
          <w:tab w:pos="360" w:val="left"/>
        </w:tabs>
        <w:bidi w:val="0"/>
        <w:spacing w:before="0" w:after="200" w:line="240" w:lineRule="auto"/>
        <w:ind w:left="0" w:right="0" w:firstLine="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V případě, že byl objednatelem určen koordinátor BOZP je zhotovitel povinen:</w:t>
      </w:r>
      <w:bookmarkEnd w:id="188"/>
      <w:bookmarkEnd w:id="189"/>
      <w:bookmarkEnd w:id="191"/>
    </w:p>
    <w:p>
      <w:pPr>
        <w:pStyle w:val="Style9"/>
        <w:keepNext w:val="0"/>
        <w:keepLines w:val="0"/>
        <w:widowControl w:val="0"/>
        <w:numPr>
          <w:ilvl w:val="0"/>
          <w:numId w:val="5"/>
        </w:numPr>
        <w:shd w:val="clear" w:color="auto" w:fill="auto"/>
        <w:tabs>
          <w:tab w:pos="772" w:val="left"/>
        </w:tabs>
        <w:bidi w:val="0"/>
        <w:spacing w:before="0" w:after="0" w:line="240" w:lineRule="auto"/>
        <w:ind w:left="380" w:right="0" w:firstLine="40"/>
        <w:jc w:val="both"/>
      </w:pPr>
      <w:bookmarkStart w:id="192" w:name="bookmark192"/>
      <w:bookmarkEnd w:id="192"/>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5"/>
        </w:numPr>
        <w:shd w:val="clear" w:color="auto" w:fill="auto"/>
        <w:tabs>
          <w:tab w:pos="772" w:val="left"/>
        </w:tabs>
        <w:bidi w:val="0"/>
        <w:spacing w:before="0" w:line="240" w:lineRule="auto"/>
        <w:ind w:left="380" w:right="0" w:firstLine="40"/>
        <w:jc w:val="both"/>
      </w:pPr>
      <w:bookmarkStart w:id="193" w:name="bookmark193"/>
      <w:bookmarkEnd w:id="193"/>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94" w:name="bookmark194"/>
      <w:bookmarkStart w:id="195" w:name="bookmark195"/>
      <w:bookmarkStart w:id="196" w:name="bookmark196"/>
      <w:bookmarkStart w:id="197" w:name="bookmark197"/>
      <w:bookmarkEnd w:id="196"/>
      <w:r>
        <w:rPr>
          <w:color w:val="000000"/>
          <w:spacing w:val="0"/>
          <w:w w:val="100"/>
          <w:position w:val="0"/>
          <w:shd w:val="clear" w:color="auto" w:fill="auto"/>
          <w:lang w:val="cs-CZ" w:eastAsia="cs-CZ" w:bidi="cs-CZ"/>
        </w:rPr>
        <w:t>Pro účely této smlouvy se rozumí:</w:t>
      </w:r>
      <w:bookmarkEnd w:id="194"/>
      <w:bookmarkEnd w:id="195"/>
      <w:bookmarkEnd w:id="197"/>
    </w:p>
    <w:p>
      <w:pPr>
        <w:pStyle w:val="Style9"/>
        <w:keepNext w:val="0"/>
        <w:keepLines w:val="0"/>
        <w:widowControl w:val="0"/>
        <w:shd w:val="clear" w:color="auto" w:fill="auto"/>
        <w:bidi w:val="0"/>
        <w:spacing w:before="0" w:after="440" w:line="240"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283/2021Sb. (stavební zákon), ve znění pozdějších předpisů a veškeré další činnosti stanovené zněním smlouvy, zejména vedení stavebního deníku a zajištění plynulosti plnění veřejné zakázky.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keepLines/>
        <w:widowControl w:val="0"/>
        <w:numPr>
          <w:ilvl w:val="0"/>
          <w:numId w:val="7"/>
        </w:numPr>
        <w:shd w:val="clear" w:color="auto" w:fill="auto"/>
        <w:tabs>
          <w:tab w:pos="382" w:val="left"/>
        </w:tabs>
        <w:bidi w:val="0"/>
        <w:spacing w:before="0" w:after="200" w:line="240" w:lineRule="auto"/>
        <w:ind w:left="0" w:right="0" w:firstLine="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Smluvní strany se dohodly na následujících lhůtách a podmínkách pro realizaci díla.</w:t>
      </w:r>
      <w:bookmarkEnd w:id="198"/>
      <w:bookmarkEnd w:id="199"/>
      <w:bookmarkEnd w:id="201"/>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9"/>
        </w:numPr>
        <w:shd w:val="clear" w:color="auto" w:fill="auto"/>
        <w:tabs>
          <w:tab w:pos="772" w:val="left"/>
        </w:tabs>
        <w:bidi w:val="0"/>
        <w:spacing w:before="0" w:after="0" w:line="240" w:lineRule="auto"/>
        <w:ind w:left="0" w:right="0" w:firstLine="380"/>
        <w:jc w:val="both"/>
      </w:pPr>
      <w:bookmarkStart w:id="202" w:name="bookmark202"/>
      <w:bookmarkEnd w:id="202"/>
      <w:r>
        <w:rPr>
          <w:color w:val="000000"/>
          <w:spacing w:val="0"/>
          <w:w w:val="100"/>
          <w:position w:val="0"/>
          <w:shd w:val="clear" w:color="auto" w:fill="auto"/>
          <w:lang w:val="cs-CZ" w:eastAsia="cs-CZ" w:bidi="cs-CZ"/>
        </w:rPr>
        <w:t>převzetí staveniště:</w:t>
      </w:r>
    </w:p>
    <w:p>
      <w:pPr>
        <w:pStyle w:val="Style9"/>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Dodavatel se zavazuje převzít staveniště nejpozději do 30 kalendářních dní od nabytí účinnosti smlouvy o dílo.</w:t>
      </w:r>
    </w:p>
    <w:p>
      <w:pPr>
        <w:pStyle w:val="Style9"/>
        <w:keepNext w:val="0"/>
        <w:keepLines w:val="0"/>
        <w:widowControl w:val="0"/>
        <w:numPr>
          <w:ilvl w:val="0"/>
          <w:numId w:val="9"/>
        </w:numPr>
        <w:shd w:val="clear" w:color="auto" w:fill="auto"/>
        <w:tabs>
          <w:tab w:pos="772" w:val="left"/>
        </w:tabs>
        <w:bidi w:val="0"/>
        <w:spacing w:before="0" w:after="0" w:line="240" w:lineRule="auto"/>
        <w:ind w:left="0" w:right="0" w:firstLine="380"/>
        <w:jc w:val="both"/>
      </w:pPr>
      <w:bookmarkStart w:id="203" w:name="bookmark203"/>
      <w:bookmarkEnd w:id="203"/>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Bez zbytečného odkladu po převzetí staveniště.</w:t>
      </w:r>
    </w:p>
    <w:p>
      <w:pPr>
        <w:pStyle w:val="Style9"/>
        <w:keepNext w:val="0"/>
        <w:keepLines w:val="0"/>
        <w:widowControl w:val="0"/>
        <w:numPr>
          <w:ilvl w:val="0"/>
          <w:numId w:val="9"/>
        </w:numPr>
        <w:shd w:val="clear" w:color="auto" w:fill="auto"/>
        <w:tabs>
          <w:tab w:pos="772" w:val="left"/>
        </w:tabs>
        <w:bidi w:val="0"/>
        <w:spacing w:before="0" w:after="0" w:line="240" w:lineRule="auto"/>
        <w:ind w:left="0" w:right="0" w:firstLine="380"/>
        <w:jc w:val="both"/>
      </w:pPr>
      <w:bookmarkStart w:id="204" w:name="bookmark204"/>
      <w:bookmarkEnd w:id="204"/>
      <w:r>
        <w:rPr>
          <w:color w:val="000000"/>
          <w:spacing w:val="0"/>
          <w:w w:val="100"/>
          <w:position w:val="0"/>
          <w:shd w:val="clear" w:color="auto" w:fill="auto"/>
          <w:lang w:val="cs-CZ" w:eastAsia="cs-CZ" w:bidi="cs-CZ"/>
        </w:rPr>
        <w:t>předání a převzetí díla:</w:t>
      </w:r>
    </w:p>
    <w:p>
      <w:pPr>
        <w:pStyle w:val="Style9"/>
        <w:keepNext w:val="0"/>
        <w:keepLines w:val="0"/>
        <w:widowControl w:val="0"/>
        <w:shd w:val="clear" w:color="auto" w:fill="auto"/>
        <w:bidi w:val="0"/>
        <w:spacing w:before="0" w:after="0" w:line="240" w:lineRule="auto"/>
        <w:ind w:left="740" w:right="0" w:firstLine="0"/>
        <w:jc w:val="both"/>
      </w:pPr>
      <w:r>
        <w:rPr>
          <w:color w:val="000000"/>
          <w:spacing w:val="0"/>
          <w:w w:val="100"/>
          <w:position w:val="0"/>
          <w:shd w:val="clear" w:color="auto" w:fill="auto"/>
          <w:lang w:val="cs-CZ" w:eastAsia="cs-CZ" w:bidi="cs-CZ"/>
        </w:rPr>
        <w:t>Nejpozději do 150 kalendářních dnů od předání staveniště (počínaje následujícím kalendářním dnem po předání staveniště). Samotnou demontáž a montáž provede zhotovitel v období maximálně 70 dnů, ostatní dny jsou určeny na bezvadnou připravenost (legislativa, měření, materiál, polotovary).</w:t>
      </w:r>
    </w:p>
    <w:p>
      <w:pPr>
        <w:pStyle w:val="Style9"/>
        <w:keepNext w:val="0"/>
        <w:keepLines w:val="0"/>
        <w:widowControl w:val="0"/>
        <w:numPr>
          <w:ilvl w:val="0"/>
          <w:numId w:val="9"/>
        </w:numPr>
        <w:shd w:val="clear" w:color="auto" w:fill="auto"/>
        <w:tabs>
          <w:tab w:pos="772" w:val="left"/>
        </w:tabs>
        <w:bidi w:val="0"/>
        <w:spacing w:before="0" w:after="0" w:line="240" w:lineRule="auto"/>
        <w:ind w:left="0" w:right="0" w:firstLine="380"/>
        <w:jc w:val="both"/>
      </w:pPr>
      <w:bookmarkStart w:id="205" w:name="bookmark205"/>
      <w:bookmarkEnd w:id="205"/>
      <w:r>
        <w:rPr>
          <w:color w:val="000000"/>
          <w:spacing w:val="0"/>
          <w:w w:val="100"/>
          <w:position w:val="0"/>
          <w:shd w:val="clear" w:color="auto" w:fill="auto"/>
          <w:lang w:val="cs-CZ" w:eastAsia="cs-CZ" w:bidi="cs-CZ"/>
        </w:rPr>
        <w:t>vyklizení staveniště:</w:t>
      </w:r>
    </w:p>
    <w:p>
      <w:pPr>
        <w:pStyle w:val="Style9"/>
        <w:keepNext w:val="0"/>
        <w:keepLines w:val="0"/>
        <w:widowControl w:val="0"/>
        <w:shd w:val="clear" w:color="auto" w:fill="auto"/>
        <w:bidi w:val="0"/>
        <w:spacing w:before="0" w:line="240" w:lineRule="auto"/>
        <w:ind w:left="74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není-li tento stav projektovou dokumentací specifikován, tak do původního stavu.</w:t>
      </w:r>
    </w:p>
    <w:p>
      <w:pPr>
        <w:pStyle w:val="Style2"/>
        <w:keepNext/>
        <w:keepLines/>
        <w:widowControl w:val="0"/>
        <w:numPr>
          <w:ilvl w:val="0"/>
          <w:numId w:val="7"/>
        </w:numPr>
        <w:shd w:val="clear" w:color="auto" w:fill="auto"/>
        <w:tabs>
          <w:tab w:pos="382" w:val="left"/>
        </w:tabs>
        <w:bidi w:val="0"/>
        <w:spacing w:before="0" w:after="0" w:line="240" w:lineRule="auto"/>
        <w:ind w:right="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06"/>
      <w:bookmarkEnd w:id="207"/>
      <w:bookmarkEnd w:id="209"/>
    </w:p>
    <w:p>
      <w:pPr>
        <w:pStyle w:val="Style2"/>
        <w:keepNext/>
        <w:keepLines/>
        <w:widowControl w:val="0"/>
        <w:numPr>
          <w:ilvl w:val="0"/>
          <w:numId w:val="7"/>
        </w:numPr>
        <w:shd w:val="clear" w:color="auto" w:fill="auto"/>
        <w:tabs>
          <w:tab w:pos="382" w:val="left"/>
        </w:tabs>
        <w:bidi w:val="0"/>
        <w:spacing w:before="0" w:after="200" w:line="240" w:lineRule="auto"/>
        <w:ind w:left="300" w:right="0" w:hanging="30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0"/>
      <w:bookmarkEnd w:id="211"/>
      <w:bookmarkEnd w:id="213"/>
    </w:p>
    <w:p>
      <w:pPr>
        <w:pStyle w:val="Style2"/>
        <w:keepNext/>
        <w:keepLines/>
        <w:widowControl w:val="0"/>
        <w:numPr>
          <w:ilvl w:val="0"/>
          <w:numId w:val="7"/>
        </w:numPr>
        <w:shd w:val="clear" w:color="auto" w:fill="auto"/>
        <w:tabs>
          <w:tab w:pos="382" w:val="left"/>
        </w:tabs>
        <w:bidi w:val="0"/>
        <w:spacing w:before="0" w:after="620" w:line="240" w:lineRule="auto"/>
        <w:ind w:left="300" w:right="0" w:hanging="30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14"/>
      <w:bookmarkEnd w:id="215"/>
      <w:bookmarkEnd w:id="217"/>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1"/>
        </w:numPr>
        <w:shd w:val="clear" w:color="auto" w:fill="auto"/>
        <w:tabs>
          <w:tab w:pos="391" w:val="left"/>
        </w:tabs>
        <w:bidi w:val="0"/>
        <w:spacing w:before="0" w:line="240" w:lineRule="auto"/>
        <w:ind w:left="380" w:right="0" w:hanging="380"/>
        <w:jc w:val="both"/>
      </w:pPr>
      <w:bookmarkStart w:id="219" w:name="bookmark219"/>
      <w:bookmarkEnd w:id="21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1"/>
        </w:numPr>
        <w:shd w:val="clear" w:color="auto" w:fill="auto"/>
        <w:tabs>
          <w:tab w:pos="391" w:val="left"/>
        </w:tabs>
        <w:bidi w:val="0"/>
        <w:spacing w:before="0" w:line="240" w:lineRule="auto"/>
        <w:ind w:left="380" w:right="0" w:hanging="380"/>
        <w:jc w:val="both"/>
      </w:pPr>
      <w:bookmarkStart w:id="220" w:name="bookmark220"/>
      <w:bookmarkEnd w:id="220"/>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9"/>
        <w:keepNext w:val="0"/>
        <w:keepLines w:val="0"/>
        <w:widowControl w:val="0"/>
        <w:numPr>
          <w:ilvl w:val="0"/>
          <w:numId w:val="11"/>
        </w:numPr>
        <w:shd w:val="clear" w:color="auto" w:fill="auto"/>
        <w:tabs>
          <w:tab w:pos="391" w:val="left"/>
        </w:tabs>
        <w:bidi w:val="0"/>
        <w:spacing w:before="0" w:line="240" w:lineRule="auto"/>
        <w:ind w:left="380" w:right="0" w:hanging="380"/>
        <w:jc w:val="both"/>
      </w:pPr>
      <w:bookmarkStart w:id="221" w:name="bookmark221"/>
      <w:bookmarkEnd w:id="22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5775" w:val="left"/>
        </w:tabs>
        <w:bidi w:val="0"/>
        <w:spacing w:before="0" w:after="0" w:line="240" w:lineRule="auto"/>
        <w:ind w:left="0" w:right="0" w:firstLine="380"/>
        <w:jc w:val="both"/>
      </w:pPr>
      <w:r>
        <w:rPr>
          <w:color w:val="000000"/>
          <w:spacing w:val="0"/>
          <w:w w:val="100"/>
          <w:position w:val="0"/>
          <w:shd w:val="clear" w:color="auto" w:fill="auto"/>
          <w:lang w:val="cs-CZ" w:eastAsia="cs-CZ" w:bidi="cs-CZ"/>
        </w:rPr>
        <w:t>Celková smluvní cena bez DPH</w:t>
        <w:tab/>
        <w:t>1.791.444,73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1"/>
        </w:numPr>
        <w:shd w:val="clear" w:color="auto" w:fill="auto"/>
        <w:tabs>
          <w:tab w:pos="391" w:val="left"/>
        </w:tabs>
        <w:bidi w:val="0"/>
        <w:spacing w:before="0" w:after="440" w:line="240" w:lineRule="auto"/>
        <w:ind w:left="380" w:right="0" w:hanging="380"/>
        <w:jc w:val="both"/>
      </w:pPr>
      <w:bookmarkStart w:id="222" w:name="bookmark222"/>
      <w:bookmarkEnd w:id="22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3"/>
        </w:numPr>
        <w:shd w:val="clear" w:color="auto" w:fill="auto"/>
        <w:tabs>
          <w:tab w:pos="391" w:val="left"/>
        </w:tabs>
        <w:bidi w:val="0"/>
        <w:spacing w:before="0" w:line="240" w:lineRule="auto"/>
        <w:ind w:left="0" w:right="0" w:firstLine="0"/>
        <w:jc w:val="both"/>
      </w:pPr>
      <w:bookmarkStart w:id="223" w:name="bookmark223"/>
      <w:bookmarkEnd w:id="223"/>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3"/>
        </w:numPr>
        <w:shd w:val="clear" w:color="auto" w:fill="auto"/>
        <w:tabs>
          <w:tab w:pos="391" w:val="left"/>
        </w:tabs>
        <w:bidi w:val="0"/>
        <w:spacing w:before="0" w:line="240" w:lineRule="auto"/>
        <w:ind w:left="380" w:right="0" w:hanging="380"/>
        <w:jc w:val="both"/>
      </w:pPr>
      <w:bookmarkStart w:id="224" w:name="bookmark224"/>
      <w:bookmarkEnd w:id="224"/>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9"/>
        <w:keepNext w:val="0"/>
        <w:keepLines w:val="0"/>
        <w:widowControl w:val="0"/>
        <w:numPr>
          <w:ilvl w:val="0"/>
          <w:numId w:val="13"/>
        </w:numPr>
        <w:shd w:val="clear" w:color="auto" w:fill="auto"/>
        <w:tabs>
          <w:tab w:pos="391" w:val="left"/>
        </w:tabs>
        <w:bidi w:val="0"/>
        <w:spacing w:before="0" w:line="240" w:lineRule="auto"/>
        <w:ind w:left="380" w:right="0" w:hanging="380"/>
        <w:jc w:val="both"/>
      </w:pPr>
      <w:bookmarkStart w:id="225" w:name="bookmark225"/>
      <w:bookmarkEnd w:id="225"/>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9"/>
        <w:keepNext w:val="0"/>
        <w:keepLines w:val="0"/>
        <w:widowControl w:val="0"/>
        <w:numPr>
          <w:ilvl w:val="0"/>
          <w:numId w:val="13"/>
        </w:numPr>
        <w:shd w:val="clear" w:color="auto" w:fill="auto"/>
        <w:tabs>
          <w:tab w:pos="391" w:val="left"/>
        </w:tabs>
        <w:bidi w:val="0"/>
        <w:spacing w:before="0" w:after="240" w:line="240" w:lineRule="auto"/>
        <w:ind w:left="0" w:right="0" w:firstLine="0"/>
        <w:jc w:val="both"/>
      </w:pPr>
      <w:bookmarkStart w:id="226" w:name="bookmark226"/>
      <w:bookmarkEnd w:id="226"/>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3"/>
        </w:numPr>
        <w:shd w:val="clear" w:color="auto" w:fill="auto"/>
        <w:tabs>
          <w:tab w:pos="391" w:val="left"/>
        </w:tabs>
        <w:bidi w:val="0"/>
        <w:spacing w:before="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9"/>
        <w:keepNext w:val="0"/>
        <w:keepLines w:val="0"/>
        <w:widowControl w:val="0"/>
        <w:numPr>
          <w:ilvl w:val="0"/>
          <w:numId w:val="13"/>
        </w:numPr>
        <w:shd w:val="clear" w:color="auto" w:fill="auto"/>
        <w:tabs>
          <w:tab w:pos="391" w:val="left"/>
        </w:tabs>
        <w:bidi w:val="0"/>
        <w:spacing w:before="0" w:after="24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9"/>
        <w:keepNext w:val="0"/>
        <w:keepLines w:val="0"/>
        <w:widowControl w:val="0"/>
        <w:numPr>
          <w:ilvl w:val="0"/>
          <w:numId w:val="13"/>
        </w:numPr>
        <w:shd w:val="clear" w:color="auto" w:fill="auto"/>
        <w:tabs>
          <w:tab w:pos="391" w:val="left"/>
        </w:tabs>
        <w:bidi w:val="0"/>
        <w:spacing w:before="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Dílčí faktury budou vystaveny zhotovitelem nejvýše do 90 % celkové smluvní ceny díla, pokud nebude dohodnuto jinak.</w:t>
      </w:r>
    </w:p>
    <w:p>
      <w:pPr>
        <w:pStyle w:val="Style9"/>
        <w:keepNext w:val="0"/>
        <w:keepLines w:val="0"/>
        <w:widowControl w:val="0"/>
        <w:numPr>
          <w:ilvl w:val="0"/>
          <w:numId w:val="13"/>
        </w:numPr>
        <w:shd w:val="clear" w:color="auto" w:fill="auto"/>
        <w:tabs>
          <w:tab w:pos="360" w:val="left"/>
        </w:tabs>
        <w:bidi w:val="0"/>
        <w:spacing w:before="0" w:after="0" w:line="240" w:lineRule="auto"/>
        <w:ind w:left="380" w:right="0" w:hanging="380"/>
        <w:jc w:val="both"/>
      </w:pPr>
      <w:bookmarkStart w:id="231" w:name="bookmark231"/>
      <w:bookmarkEnd w:id="231"/>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 celkové smluvní ceny, pokud nebude dohodnuto jinak. Dnem uskutečnění zdanitelného plnění bude den převzetí díla s výhradami. Přílohou dílčí faktury bude protokol o předání a převzetí díla s výhradami.</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Zbývajících 5 % z celkové ceny díla bude objednatelem uhrazeno až po odstranění poslední vady.</w:t>
      </w:r>
    </w:p>
    <w:p>
      <w:pPr>
        <w:pStyle w:val="Style9"/>
        <w:keepNext w:val="0"/>
        <w:keepLines w:val="0"/>
        <w:widowControl w:val="0"/>
        <w:numPr>
          <w:ilvl w:val="0"/>
          <w:numId w:val="13"/>
        </w:numPr>
        <w:shd w:val="clear" w:color="auto" w:fill="auto"/>
        <w:tabs>
          <w:tab w:pos="455" w:val="left"/>
        </w:tabs>
        <w:bidi w:val="0"/>
        <w:spacing w:before="0" w:after="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3"/>
        </w:numPr>
        <w:shd w:val="clear" w:color="auto" w:fill="auto"/>
        <w:tabs>
          <w:tab w:pos="455" w:val="left"/>
        </w:tabs>
        <w:bidi w:val="0"/>
        <w:spacing w:before="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3"/>
        </w:numPr>
        <w:shd w:val="clear" w:color="auto" w:fill="auto"/>
        <w:tabs>
          <w:tab w:pos="455" w:val="left"/>
        </w:tabs>
        <w:bidi w:val="0"/>
        <w:spacing w:before="0" w:line="240" w:lineRule="auto"/>
        <w:ind w:left="0" w:right="0" w:firstLine="0"/>
        <w:jc w:val="both"/>
      </w:pPr>
      <w:bookmarkStart w:id="234" w:name="bookmark234"/>
      <w:bookmarkEnd w:id="234"/>
      <w:r>
        <w:rPr>
          <w:color w:val="000000"/>
          <w:spacing w:val="0"/>
          <w:w w:val="100"/>
          <w:position w:val="0"/>
          <w:shd w:val="clear" w:color="auto" w:fill="auto"/>
          <w:lang w:val="cs-CZ" w:eastAsia="cs-CZ" w:bidi="cs-CZ"/>
        </w:rPr>
        <w:t>Splatnost faktury je 30 kalendářních dnů od data doručení faktury objednateli.</w:t>
      </w:r>
    </w:p>
    <w:p>
      <w:pPr>
        <w:pStyle w:val="Style9"/>
        <w:keepNext w:val="0"/>
        <w:keepLines w:val="0"/>
        <w:widowControl w:val="0"/>
        <w:numPr>
          <w:ilvl w:val="0"/>
          <w:numId w:val="13"/>
        </w:numPr>
        <w:shd w:val="clear" w:color="auto" w:fill="auto"/>
        <w:tabs>
          <w:tab w:pos="455" w:val="left"/>
        </w:tabs>
        <w:bidi w:val="0"/>
        <w:spacing w:before="0" w:after="240" w:line="240" w:lineRule="auto"/>
        <w:ind w:left="380" w:right="0" w:hanging="380"/>
        <w:jc w:val="both"/>
      </w:pPr>
      <w:bookmarkStart w:id="235" w:name="bookmark235"/>
      <w:bookmarkEnd w:id="235"/>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pPr>
        <w:pStyle w:val="Style9"/>
        <w:keepNext w:val="0"/>
        <w:keepLines w:val="0"/>
        <w:widowControl w:val="0"/>
        <w:numPr>
          <w:ilvl w:val="0"/>
          <w:numId w:val="13"/>
        </w:numPr>
        <w:shd w:val="clear" w:color="auto" w:fill="auto"/>
        <w:tabs>
          <w:tab w:pos="720" w:val="left"/>
        </w:tabs>
        <w:bidi w:val="0"/>
        <w:spacing w:before="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 xml:space="preserve">Pokud zhotovitel neodstraní vady díla uvedené v protokolu o předání a převzetí díla ve stanoveném termínu, je povinen zaplatit objednateli smluvní pokutu ve výši 1 000,- Kč za </w:t>
      </w:r>
      <w:r>
        <w:rPr>
          <w:color w:val="000000"/>
          <w:spacing w:val="0"/>
          <w:w w:val="100"/>
          <w:position w:val="0"/>
          <w:shd w:val="clear" w:color="auto" w:fill="auto"/>
          <w:lang w:val="cs-CZ" w:eastAsia="cs-CZ" w:bidi="cs-CZ"/>
        </w:rPr>
        <w:t>každou vadu, u níž je zhotovitel v prodlení, a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0" w:name="bookmark240"/>
      <w:bookmarkEnd w:id="24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2" w:name="bookmark242"/>
      <w:bookmarkEnd w:id="242"/>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3" w:name="bookmark243"/>
      <w:bookmarkEnd w:id="24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4" w:name="bookmark244"/>
      <w:bookmarkEnd w:id="244"/>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5" w:name="bookmark245"/>
      <w:bookmarkEnd w:id="245"/>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246" w:name="bookmark246"/>
      <w:bookmarkEnd w:id="246"/>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247" w:name="bookmark247"/>
      <w:bookmarkEnd w:id="247"/>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5"/>
        </w:numPr>
        <w:shd w:val="clear" w:color="auto" w:fill="auto"/>
        <w:tabs>
          <w:tab w:pos="470" w:val="left"/>
        </w:tabs>
        <w:bidi w:val="0"/>
        <w:spacing w:before="0" w:after="440" w:line="240" w:lineRule="auto"/>
        <w:ind w:left="380" w:right="0" w:hanging="380"/>
        <w:jc w:val="both"/>
      </w:pPr>
      <w:bookmarkStart w:id="252" w:name="bookmark252"/>
      <w:bookmarkEnd w:id="25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sectPr>
          <w:headerReference w:type="default" r:id="rId5"/>
          <w:footerReference w:type="default" r:id="rId6"/>
          <w:footnotePr>
            <w:pos w:val="pageBottom"/>
            <w:numFmt w:val="decimal"/>
            <w:numRestart w:val="continuous"/>
          </w:footnotePr>
          <w:pgSz w:w="11909" w:h="16838"/>
          <w:pgMar w:top="1086" w:left="1392" w:right="1386" w:bottom="1290" w:header="0" w:footer="3" w:gutter="0"/>
          <w:pgNumType w:start="1"/>
          <w:cols w:space="720"/>
          <w:noEndnote/>
          <w:rtlGutter w:val="0"/>
          <w:docGrid w:linePitch="360"/>
        </w:sectP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7"/>
        </w:numPr>
        <w:shd w:val="clear" w:color="auto" w:fill="auto"/>
        <w:tabs>
          <w:tab w:pos="370" w:val="left"/>
        </w:tabs>
        <w:bidi w:val="0"/>
        <w:spacing w:before="0" w:after="0" w:line="240" w:lineRule="auto"/>
        <w:ind w:left="0" w:right="0" w:firstLine="0"/>
        <w:jc w:val="both"/>
      </w:pPr>
      <w:bookmarkStart w:id="253" w:name="bookmark253"/>
      <w:bookmarkEnd w:id="253"/>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9"/>
        </w:numPr>
        <w:shd w:val="clear" w:color="auto" w:fill="auto"/>
        <w:tabs>
          <w:tab w:pos="973" w:val="left"/>
        </w:tabs>
        <w:bidi w:val="0"/>
        <w:spacing w:before="0" w:after="100" w:line="240" w:lineRule="auto"/>
        <w:ind w:left="0" w:right="0" w:firstLine="380"/>
        <w:jc w:val="both"/>
      </w:pPr>
      <w:bookmarkStart w:id="254" w:name="bookmark254"/>
      <w:bookmarkEnd w:id="254"/>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9"/>
        </w:numPr>
        <w:shd w:val="clear" w:color="auto" w:fill="auto"/>
        <w:tabs>
          <w:tab w:pos="973" w:val="left"/>
        </w:tabs>
        <w:bidi w:val="0"/>
        <w:spacing w:before="0" w:after="100" w:line="240" w:lineRule="auto"/>
        <w:ind w:left="1020" w:right="0" w:hanging="600"/>
        <w:jc w:val="both"/>
      </w:pPr>
      <w:bookmarkStart w:id="255" w:name="bookmark255"/>
      <w:bookmarkEnd w:id="25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9"/>
        </w:numPr>
        <w:shd w:val="clear" w:color="auto" w:fill="auto"/>
        <w:tabs>
          <w:tab w:pos="973" w:val="left"/>
        </w:tabs>
        <w:bidi w:val="0"/>
        <w:spacing w:before="0" w:after="100" w:line="240" w:lineRule="auto"/>
        <w:ind w:left="1020" w:right="0" w:hanging="600"/>
        <w:jc w:val="both"/>
      </w:pPr>
      <w:bookmarkStart w:id="256" w:name="bookmark256"/>
      <w:bookmarkEnd w:id="256"/>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7"/>
        </w:numPr>
        <w:shd w:val="clear" w:color="auto" w:fill="auto"/>
        <w:tabs>
          <w:tab w:pos="370" w:val="left"/>
        </w:tabs>
        <w:bidi w:val="0"/>
        <w:spacing w:before="0" w:line="240" w:lineRule="auto"/>
        <w:ind w:left="0" w:right="0" w:firstLine="0"/>
        <w:jc w:val="both"/>
      </w:pPr>
      <w:bookmarkStart w:id="257" w:name="bookmark257"/>
      <w:bookmarkEnd w:id="257"/>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17"/>
        </w:numPr>
        <w:shd w:val="clear" w:color="auto" w:fill="auto"/>
        <w:tabs>
          <w:tab w:pos="370" w:val="left"/>
        </w:tabs>
        <w:bidi w:val="0"/>
        <w:spacing w:before="0" w:after="100" w:line="240" w:lineRule="auto"/>
        <w:ind w:right="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58"/>
      <w:bookmarkEnd w:id="259"/>
      <w:bookmarkEnd w:id="261"/>
    </w:p>
    <w:p>
      <w:pPr>
        <w:pStyle w:val="Style2"/>
        <w:keepNext/>
        <w:keepLines/>
        <w:widowControl w:val="0"/>
        <w:numPr>
          <w:ilvl w:val="0"/>
          <w:numId w:val="17"/>
        </w:numPr>
        <w:shd w:val="clear" w:color="auto" w:fill="auto"/>
        <w:tabs>
          <w:tab w:pos="370" w:val="left"/>
        </w:tabs>
        <w:bidi w:val="0"/>
        <w:spacing w:before="0" w:after="100" w:line="240" w:lineRule="auto"/>
        <w:ind w:right="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62"/>
      <w:bookmarkEnd w:id="263"/>
      <w:bookmarkEnd w:id="265"/>
    </w:p>
    <w:p>
      <w:pPr>
        <w:pStyle w:val="Style2"/>
        <w:keepNext/>
        <w:keepLines/>
        <w:widowControl w:val="0"/>
        <w:numPr>
          <w:ilvl w:val="0"/>
          <w:numId w:val="17"/>
        </w:numPr>
        <w:shd w:val="clear" w:color="auto" w:fill="auto"/>
        <w:tabs>
          <w:tab w:pos="370" w:val="left"/>
        </w:tabs>
        <w:bidi w:val="0"/>
        <w:spacing w:before="0" w:after="380" w:line="240" w:lineRule="auto"/>
        <w:ind w:right="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66"/>
      <w:bookmarkEnd w:id="267"/>
      <w:bookmarkEnd w:id="269"/>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1"/>
        </w:numPr>
        <w:shd w:val="clear" w:color="auto" w:fill="auto"/>
        <w:tabs>
          <w:tab w:pos="370" w:val="left"/>
        </w:tabs>
        <w:bidi w:val="0"/>
        <w:spacing w:before="0" w:after="100" w:line="240" w:lineRule="auto"/>
        <w:ind w:left="0" w:right="0" w:firstLine="0"/>
        <w:jc w:val="both"/>
      </w:pPr>
      <w:bookmarkStart w:id="270" w:name="bookmark270"/>
      <w:bookmarkEnd w:id="270"/>
      <w:r>
        <w:rPr>
          <w:color w:val="000000"/>
          <w:spacing w:val="0"/>
          <w:w w:val="100"/>
          <w:position w:val="0"/>
          <w:shd w:val="clear" w:color="auto" w:fill="auto"/>
          <w:lang w:val="cs-CZ" w:eastAsia="cs-CZ" w:bidi="cs-CZ"/>
        </w:rPr>
        <w:t>Zhotovitel odpovídá za škody na díle, dalším majetku objednatele a majetku třetích osob,</w:t>
      </w:r>
    </w:p>
    <w:p>
      <w:pPr>
        <w:pStyle w:val="Style9"/>
        <w:keepNext w:val="0"/>
        <w:keepLines w:val="0"/>
        <w:widowControl w:val="0"/>
        <w:shd w:val="clear" w:color="auto" w:fill="auto"/>
        <w:bidi w:val="0"/>
        <w:spacing w:before="0" w:after="10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440" w:left="1394" w:right="1384" w:bottom="874" w:header="0" w:footer="446"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8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vzniklé v souvislosti s plněním díla dle ustanovení této smlouvy.</w:t>
      </w:r>
    </w:p>
    <w:p>
      <w:pPr>
        <w:pStyle w:val="Style2"/>
        <w:keepNext/>
        <w:keepLines/>
        <w:widowControl w:val="0"/>
        <w:numPr>
          <w:ilvl w:val="0"/>
          <w:numId w:val="21"/>
        </w:numPr>
        <w:shd w:val="clear" w:color="auto" w:fill="auto"/>
        <w:tabs>
          <w:tab w:pos="358" w:val="left"/>
        </w:tabs>
        <w:bidi w:val="0"/>
        <w:spacing w:before="0" w:after="400" w:line="240" w:lineRule="auto"/>
        <w:ind w:right="0"/>
        <w:jc w:val="both"/>
      </w:pPr>
      <w:bookmarkStart w:id="271" w:name="bookmark271"/>
      <w:bookmarkStart w:id="272" w:name="bookmark272"/>
      <w:bookmarkStart w:id="273" w:name="bookmark273"/>
      <w:bookmarkStart w:id="274" w:name="bookmark274"/>
      <w:bookmarkEnd w:id="27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71"/>
      <w:bookmarkEnd w:id="272"/>
      <w:bookmarkEnd w:id="274"/>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3"/>
        </w:numPr>
        <w:shd w:val="clear" w:color="auto" w:fill="auto"/>
        <w:tabs>
          <w:tab w:pos="358" w:val="left"/>
        </w:tabs>
        <w:bidi w:val="0"/>
        <w:spacing w:before="0" w:after="26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3"/>
        </w:numPr>
        <w:shd w:val="clear" w:color="auto" w:fill="auto"/>
        <w:tabs>
          <w:tab w:pos="358" w:val="left"/>
        </w:tabs>
        <w:bidi w:val="0"/>
        <w:spacing w:before="0" w:after="320" w:line="240" w:lineRule="auto"/>
        <w:ind w:right="0"/>
        <w:jc w:val="both"/>
      </w:pPr>
      <w:bookmarkStart w:id="278" w:name="bookmark278"/>
      <w:bookmarkStart w:id="279" w:name="bookmark279"/>
      <w:bookmarkStart w:id="280" w:name="bookmark280"/>
      <w:bookmarkStart w:id="281" w:name="bookmark281"/>
      <w:bookmarkEnd w:id="280"/>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78"/>
      <w:bookmarkEnd w:id="279"/>
      <w:bookmarkEnd w:id="281"/>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7"/>
        </w:numPr>
        <w:shd w:val="clear" w:color="auto" w:fill="auto"/>
        <w:tabs>
          <w:tab w:pos="1174" w:val="left"/>
        </w:tabs>
        <w:bidi w:val="0"/>
        <w:spacing w:before="0" w:after="120" w:line="240" w:lineRule="auto"/>
        <w:ind w:left="1160" w:right="0" w:hanging="360"/>
        <w:jc w:val="both"/>
      </w:pPr>
      <w:bookmarkStart w:id="285" w:name="bookmark285"/>
      <w:bookmarkStart w:id="286" w:name="bookmark286"/>
      <w:bookmarkStart w:id="287" w:name="bookmark287"/>
      <w:bookmarkStart w:id="288" w:name="bookmark288"/>
      <w:bookmarkEnd w:id="287"/>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85"/>
      <w:bookmarkEnd w:id="286"/>
      <w:bookmarkEnd w:id="288"/>
    </w:p>
    <w:p>
      <w:pPr>
        <w:pStyle w:val="Style2"/>
        <w:keepNext/>
        <w:keepLines/>
        <w:widowControl w:val="0"/>
        <w:numPr>
          <w:ilvl w:val="0"/>
          <w:numId w:val="27"/>
        </w:numPr>
        <w:shd w:val="clear" w:color="auto" w:fill="auto"/>
        <w:tabs>
          <w:tab w:pos="1174" w:val="left"/>
        </w:tabs>
        <w:bidi w:val="0"/>
        <w:spacing w:before="0" w:after="120" w:line="240" w:lineRule="auto"/>
        <w:ind w:left="0" w:right="0" w:firstLine="800"/>
        <w:jc w:val="both"/>
      </w:pPr>
      <w:bookmarkStart w:id="289" w:name="bookmark289"/>
      <w:bookmarkStart w:id="290" w:name="bookmark290"/>
      <w:bookmarkStart w:id="291" w:name="bookmark291"/>
      <w:bookmarkStart w:id="292" w:name="bookmark292"/>
      <w:bookmarkStart w:id="293" w:name="bookmark293"/>
      <w:bookmarkEnd w:id="291"/>
      <w:r>
        <w:rPr>
          <w:color w:val="000000"/>
          <w:spacing w:val="0"/>
          <w:w w:val="100"/>
          <w:position w:val="0"/>
          <w:shd w:val="clear" w:color="auto" w:fill="auto"/>
          <w:lang w:val="cs-CZ" w:eastAsia="cs-CZ" w:bidi="cs-CZ"/>
        </w:rPr>
        <w:t>bezdůvodném přerušení prací zhotovitelem, které trvá více než 14 dnů,</w:t>
      </w:r>
      <w:bookmarkEnd w:id="289"/>
      <w:bookmarkEnd w:id="290"/>
      <w:bookmarkEnd w:id="292"/>
      <w:bookmarkEnd w:id="293"/>
    </w:p>
    <w:p>
      <w:pPr>
        <w:pStyle w:val="Style9"/>
        <w:keepNext w:val="0"/>
        <w:keepLines w:val="0"/>
        <w:widowControl w:val="0"/>
        <w:numPr>
          <w:ilvl w:val="0"/>
          <w:numId w:val="27"/>
        </w:numPr>
        <w:shd w:val="clear" w:color="auto" w:fill="auto"/>
        <w:tabs>
          <w:tab w:pos="1347" w:val="left"/>
        </w:tabs>
        <w:bidi w:val="0"/>
        <w:spacing w:before="0" w:after="120" w:line="240" w:lineRule="auto"/>
        <w:ind w:left="1160" w:right="0" w:hanging="360"/>
        <w:jc w:val="both"/>
      </w:pPr>
      <w:bookmarkStart w:id="294" w:name="bookmark294"/>
      <w:bookmarkStart w:id="295" w:name="bookmark295"/>
      <w:bookmarkEnd w:id="294"/>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w:t>
      </w:r>
      <w:bookmarkEnd w:id="295"/>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odborného vedení stavby při rozhodujících dodávkách pro zajištění řádného plnění díla.</w:t>
      </w:r>
    </w:p>
    <w:p>
      <w:pPr>
        <w:pStyle w:val="Style2"/>
        <w:keepNext/>
        <w:keepLines/>
        <w:widowControl w:val="0"/>
        <w:numPr>
          <w:ilvl w:val="0"/>
          <w:numId w:val="27"/>
        </w:numPr>
        <w:shd w:val="clear" w:color="auto" w:fill="auto"/>
        <w:tabs>
          <w:tab w:pos="1189" w:val="left"/>
        </w:tabs>
        <w:bidi w:val="0"/>
        <w:spacing w:before="0" w:after="120" w:line="240" w:lineRule="auto"/>
        <w:ind w:left="0" w:right="0" w:firstLine="800"/>
        <w:jc w:val="both"/>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neplněním povinností zhotovitele vést řádně zápisy do stavebního deníku.</w:t>
      </w:r>
      <w:bookmarkEnd w:id="296"/>
      <w:bookmarkEnd w:id="297"/>
      <w:bookmarkEnd w:id="299"/>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5"/>
        </w:numPr>
        <w:shd w:val="clear" w:color="auto" w:fill="auto"/>
        <w:tabs>
          <w:tab w:pos="365" w:val="left"/>
        </w:tabs>
        <w:bidi w:val="0"/>
        <w:spacing w:before="0" w:after="0" w:line="240" w:lineRule="auto"/>
        <w:ind w:left="0" w:right="0" w:firstLine="0"/>
        <w:jc w:val="both"/>
      </w:pPr>
      <w:bookmarkStart w:id="305" w:name="bookmark305"/>
      <w:bookmarkEnd w:id="305"/>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5"/>
        </w:numPr>
        <w:shd w:val="clear" w:color="auto" w:fill="auto"/>
        <w:tabs>
          <w:tab w:pos="442" w:val="left"/>
        </w:tabs>
        <w:bidi w:val="0"/>
        <w:spacing w:before="0" w:after="6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5"/>
        </w:numPr>
        <w:shd w:val="clear" w:color="auto" w:fill="auto"/>
        <w:tabs>
          <w:tab w:pos="442" w:val="left"/>
        </w:tabs>
        <w:bidi w:val="0"/>
        <w:spacing w:before="0" w:after="0" w:line="240" w:lineRule="auto"/>
        <w:ind w:left="0" w:right="0" w:firstLine="0"/>
        <w:jc w:val="both"/>
      </w:pPr>
      <w:bookmarkStart w:id="308" w:name="bookmark308"/>
      <w:bookmarkEnd w:id="308"/>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6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9"/>
        <w:keepNext w:val="0"/>
        <w:keepLines w:val="0"/>
        <w:widowControl w:val="0"/>
        <w:numPr>
          <w:ilvl w:val="0"/>
          <w:numId w:val="25"/>
        </w:numPr>
        <w:shd w:val="clear" w:color="auto" w:fill="auto"/>
        <w:tabs>
          <w:tab w:pos="442"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r>
        <w:br w:type="page"/>
      </w:r>
    </w:p>
    <w:p>
      <w:pPr>
        <w:pStyle w:val="Style9"/>
        <w:keepNext w:val="0"/>
        <w:keepLines w:val="0"/>
        <w:widowControl w:val="0"/>
        <w:numPr>
          <w:ilvl w:val="0"/>
          <w:numId w:val="25"/>
        </w:numPr>
        <w:shd w:val="clear" w:color="auto" w:fill="auto"/>
        <w:tabs>
          <w:tab w:pos="502"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5"/>
        </w:numPr>
        <w:shd w:val="clear" w:color="auto" w:fill="auto"/>
        <w:tabs>
          <w:tab w:pos="502" w:val="left"/>
        </w:tabs>
        <w:bidi w:val="0"/>
        <w:spacing w:before="0" w:after="280" w:line="288" w:lineRule="auto"/>
        <w:ind w:left="380" w:right="0" w:hanging="380"/>
        <w:jc w:val="both"/>
      </w:pPr>
      <w:bookmarkStart w:id="311" w:name="bookmark311"/>
      <w:bookmarkEnd w:id="311"/>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3) Příloha č.1: Oceněný soupis prací</w:t>
      </w:r>
    </w:p>
    <w:p>
      <w:pPr>
        <w:pStyle w:val="Style9"/>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2) Příloha č.2: Projektová dokumentace: „VD Janov, hráz - konstrukce v komoře uzávěrů“, zpracovaná Sweco a.s.; Táborská 940/31; 140 16 Praha 4, IČO 26475081, ze 2/2024</w:t>
      </w:r>
    </w:p>
    <w:p>
      <w:pPr>
        <w:pStyle w:val="Style9"/>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9"/>
        <w:keepNext w:val="0"/>
        <w:keepLines w:val="0"/>
        <w:widowControl w:val="0"/>
        <w:shd w:val="clear" w:color="auto" w:fill="auto"/>
        <w:bidi w:val="0"/>
        <w:spacing w:before="0" w:after="2360" w:line="360" w:lineRule="auto"/>
        <w:ind w:left="380" w:right="0" w:firstLine="0"/>
        <w:jc w:val="both"/>
      </w:pPr>
      <w:r>
        <w:rPr>
          <w:color w:val="000000"/>
          <w:spacing w:val="0"/>
          <w:w w:val="100"/>
          <w:position w:val="0"/>
          <w:shd w:val="clear" w:color="auto" w:fill="auto"/>
          <w:lang w:val="cs-CZ" w:eastAsia="cs-CZ" w:bidi="cs-CZ"/>
        </w:rPr>
        <w:t>Priorita 1) Příloha č.4: Čestné prohlášení k finančním sankcím</w:t>
      </w:r>
    </w:p>
    <w:p>
      <w:pPr>
        <w:pStyle w:val="Style9"/>
        <w:keepNext w:val="0"/>
        <w:keepLines w:val="0"/>
        <w:widowControl w:val="0"/>
        <w:shd w:val="clear" w:color="auto" w:fill="auto"/>
        <w:bidi w:val="0"/>
        <w:spacing w:before="0" w:after="0" w:line="240" w:lineRule="auto"/>
        <w:ind w:left="1940" w:right="0" w:firstLine="0"/>
        <w:jc w:val="both"/>
      </w:pPr>
      <w:r>
        <mc:AlternateContent>
          <mc:Choice Requires="wps">
            <w:drawing>
              <wp:anchor distT="0" distB="0" distL="114300" distR="114300" simplePos="0" relativeHeight="125829378" behindDoc="0" locked="0" layoutInCell="1" allowOverlap="1">
                <wp:simplePos x="0" y="0"/>
                <wp:positionH relativeFrom="page">
                  <wp:posOffset>1064895</wp:posOffset>
                </wp:positionH>
                <wp:positionV relativeFrom="paragraph">
                  <wp:posOffset>12700</wp:posOffset>
                </wp:positionV>
                <wp:extent cx="1688465" cy="875030"/>
                <wp:wrapSquare wrapText="right"/>
                <wp:docPr id="7" name="Shape 7"/>
                <a:graphic xmlns:a="http://schemas.openxmlformats.org/drawingml/2006/main">
                  <a:graphicData uri="http://schemas.microsoft.com/office/word/2010/wordprocessingShape">
                    <wps:wsp>
                      <wps:cNvSpPr txBox="1"/>
                      <wps:spPr>
                        <a:xfrm>
                          <a:ext cx="1688465" cy="8750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502" w:lineRule="auto"/>
                              <w:ind w:left="0" w:right="0" w:firstLine="0"/>
                              <w:jc w:val="left"/>
                            </w:pPr>
                            <w:r>
                              <w:rPr>
                                <w:color w:val="000000"/>
                                <w:spacing w:val="0"/>
                                <w:w w:val="100"/>
                                <w:position w:val="0"/>
                                <w:shd w:val="clear" w:color="auto" w:fill="auto"/>
                                <w:lang w:val="cs-CZ" w:eastAsia="cs-CZ" w:bidi="cs-CZ"/>
                              </w:rPr>
                              <w:t>Povodí Ohře, státní podnik elektronicky podepsal</w:t>
                            </w:r>
                          </w:p>
                        </w:txbxContent>
                      </wps:txbx>
                      <wps:bodyPr lIns="0" tIns="0" rIns="0" bIns="0">
                        <a:noAutoFit/>
                      </wps:bodyPr>
                    </wps:wsp>
                  </a:graphicData>
                </a:graphic>
              </wp:anchor>
            </w:drawing>
          </mc:Choice>
          <mc:Fallback>
            <w:pict>
              <v:shape id="_x0000_s1033" type="#_x0000_t202" style="position:absolute;margin-left:83.850000000000009pt;margin-top:1.pt;width:132.94999999999999pt;height:68.900000000000006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502" w:lineRule="auto"/>
                        <w:ind w:left="0" w:right="0" w:firstLine="0"/>
                        <w:jc w:val="left"/>
                      </w:pPr>
                      <w:r>
                        <w:rPr>
                          <w:color w:val="000000"/>
                          <w:spacing w:val="0"/>
                          <w:w w:val="100"/>
                          <w:position w:val="0"/>
                          <w:shd w:val="clear" w:color="auto" w:fill="auto"/>
                          <w:lang w:val="cs-CZ" w:eastAsia="cs-CZ" w:bidi="cs-CZ"/>
                        </w:rPr>
                        <w:t>Povodí Ohře, státní podnik elektronicky podepsal</w:t>
                      </w:r>
                    </w:p>
                  </w:txbxContent>
                </v:textbox>
                <w10:wrap type="square" side="right" anchorx="page"/>
              </v:shape>
            </w:pict>
          </mc:Fallback>
        </mc:AlternateContent>
      </w: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280" w:line="502" w:lineRule="auto"/>
        <w:ind w:left="1940" w:right="0" w:firstLine="0"/>
        <w:jc w:val="both"/>
        <w:rPr>
          <w:sz w:val="24"/>
          <w:szCs w:val="24"/>
        </w:rPr>
      </w:pPr>
      <w:r>
        <w:rPr>
          <w:color w:val="000000"/>
          <w:spacing w:val="0"/>
          <w:w w:val="100"/>
          <w:position w:val="0"/>
          <w:sz w:val="22"/>
          <w:szCs w:val="22"/>
          <w:shd w:val="clear" w:color="auto" w:fill="auto"/>
          <w:lang w:val="cs-CZ" w:eastAsia="cs-CZ" w:bidi="cs-CZ"/>
        </w:rPr>
        <w:t>BOS - Radovan Vítámvás, spol. s r.o. elektronicky podepsa</w:t>
      </w:r>
      <w:r>
        <w:rPr>
          <w:color w:val="000000"/>
          <w:spacing w:val="0"/>
          <w:w w:val="100"/>
          <w:position w:val="0"/>
          <w:sz w:val="24"/>
          <w:szCs w:val="24"/>
          <w:shd w:val="clear" w:color="auto" w:fill="auto"/>
          <w:lang w:val="cs-CZ" w:eastAsia="cs-CZ" w:bidi="cs-CZ"/>
        </w:rPr>
        <w:t>l</w:t>
      </w:r>
    </w:p>
    <w:sectPr>
      <w:headerReference w:type="default" r:id="rId9"/>
      <w:footerReference w:type="default" r:id="rId10"/>
      <w:footnotePr>
        <w:pos w:val="pageBottom"/>
        <w:numFmt w:val="decimal"/>
        <w:numRestart w:val="continuous"/>
      </w:footnotePr>
      <w:pgSz w:w="11909" w:h="16838"/>
      <w:pgMar w:top="1107" w:left="1394" w:right="1384" w:bottom="125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9942830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82.89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9942830</wp:posOffset>
              </wp:positionV>
              <wp:extent cx="978535" cy="201295"/>
              <wp:wrapNone/>
              <wp:docPr id="11" name="Shape 1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7" type="#_x0000_t202" style="position:absolute;margin-left:447.69999999999999pt;margin-top:782.89999999999998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384810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0.3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384810</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pt;margin-top:30.30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