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29DB6" w14:textId="25C2CCF8" w:rsidR="00B83C46" w:rsidRPr="009B420C" w:rsidRDefault="009B420C" w:rsidP="009B420C">
      <w:pPr>
        <w:rPr>
          <w:rFonts w:ascii="Arial" w:hAnsi="Arial" w:cs="Arial"/>
          <w:b/>
          <w:bCs/>
        </w:rPr>
      </w:pPr>
      <w:r w:rsidRPr="009B420C">
        <w:rPr>
          <w:rFonts w:ascii="Arial" w:hAnsi="Arial" w:cs="Arial"/>
          <w:b/>
          <w:bCs/>
        </w:rPr>
        <w:t>Příloha č. 1</w:t>
      </w:r>
    </w:p>
    <w:p w14:paraId="5E7147F9" w14:textId="77777777" w:rsidR="009B420C" w:rsidRDefault="009B420C" w:rsidP="009B420C">
      <w:pPr>
        <w:rPr>
          <w:rFonts w:ascii="Arial" w:hAnsi="Arial" w:cs="Arial"/>
        </w:rPr>
      </w:pPr>
    </w:p>
    <w:p w14:paraId="49E589F3" w14:textId="049DC7DE" w:rsidR="009B420C" w:rsidRPr="009B420C" w:rsidRDefault="009B420C" w:rsidP="009B420C">
      <w:pPr>
        <w:rPr>
          <w:rFonts w:ascii="Arial" w:hAnsi="Arial" w:cs="Arial"/>
          <w:b/>
          <w:bCs/>
        </w:rPr>
      </w:pPr>
      <w:r w:rsidRPr="009B420C">
        <w:rPr>
          <w:rFonts w:ascii="Arial" w:hAnsi="Arial" w:cs="Arial"/>
          <w:b/>
          <w:bCs/>
        </w:rPr>
        <w:t xml:space="preserve">Podrobná specifikace činnosti </w:t>
      </w:r>
      <w:r w:rsidR="00411D11">
        <w:rPr>
          <w:rFonts w:ascii="Arial" w:hAnsi="Arial" w:cs="Arial"/>
          <w:b/>
          <w:bCs/>
        </w:rPr>
        <w:t xml:space="preserve">_ </w:t>
      </w:r>
      <w:r w:rsidRPr="009B420C">
        <w:rPr>
          <w:rFonts w:ascii="Arial" w:hAnsi="Arial" w:cs="Arial"/>
          <w:b/>
          <w:bCs/>
        </w:rPr>
        <w:t>TDS a koordinátora BOZP</w:t>
      </w:r>
    </w:p>
    <w:p w14:paraId="12001526" w14:textId="77777777" w:rsidR="009B420C" w:rsidRPr="009B420C" w:rsidRDefault="009B420C" w:rsidP="009B420C">
      <w:pPr>
        <w:rPr>
          <w:rFonts w:ascii="Arial" w:hAnsi="Arial" w:cs="Arial"/>
          <w:b/>
          <w:bCs/>
        </w:rPr>
      </w:pPr>
    </w:p>
    <w:p w14:paraId="0841AABD" w14:textId="77777777" w:rsidR="009B420C" w:rsidRPr="009B420C" w:rsidRDefault="009B420C" w:rsidP="009B420C">
      <w:pPr>
        <w:rPr>
          <w:rFonts w:ascii="Arial" w:hAnsi="Arial" w:cs="Arial"/>
          <w:b/>
          <w:bCs/>
        </w:rPr>
      </w:pPr>
    </w:p>
    <w:p w14:paraId="717BBD49" w14:textId="77777777" w:rsidR="009B420C" w:rsidRPr="009B420C" w:rsidRDefault="009B420C" w:rsidP="009B420C">
      <w:pPr>
        <w:pStyle w:val="Default"/>
        <w:rPr>
          <w:b/>
          <w:bCs/>
        </w:rPr>
      </w:pPr>
      <w:r w:rsidRPr="009B420C">
        <w:rPr>
          <w:b/>
          <w:bCs/>
        </w:rPr>
        <w:t xml:space="preserve">Při výkonu TDS se jedná zejména o činnosti: </w:t>
      </w:r>
    </w:p>
    <w:p w14:paraId="33199F1F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zajištění předání staveniště, svolávání pravidelných kontrolních dnů a pořizování zápisů; </w:t>
      </w:r>
    </w:p>
    <w:p w14:paraId="78FA2507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průběžnou kontrolu kvality a kvantity prováděných prací, dodržování podmínek stavebního povolení, kontrolu každodenního vedení stavebního deníku a jeho odsouhlasení; </w:t>
      </w:r>
    </w:p>
    <w:p w14:paraId="2F6B634C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přímou kontrolu a dohled nad prováděním díla, odsouhlasení správného provedení a odsouhlasení zakrývaných částí díla; kontrolu provádění předepsaných zkoušek; </w:t>
      </w:r>
    </w:p>
    <w:p w14:paraId="45CD27DC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pořizování fotodokumentace průběhu stavby, případně dalších dokladů o průběhu stavby; </w:t>
      </w:r>
    </w:p>
    <w:p w14:paraId="6A7F072C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vyžadování a kontrolu dokladů prokazujících kvalitu používaných materiálů a kvalitu díla; </w:t>
      </w:r>
    </w:p>
    <w:p w14:paraId="2643248A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průběžnou přípravu dokladů nutných pro odevzdání a převzetí díla a jeho kolaudaci; zajištění kolaudačního souhlasu; </w:t>
      </w:r>
    </w:p>
    <w:p w14:paraId="78DD77C7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vyhodnocování harmonogramu (HMG) z hlediska dodržení termínů vyplývajících ze smlouvy o dílo s dodavatelem stavby. Při neplnění – výzva dodavateli stavby k jeho aktualizaci, případně si vyžádání opatření vedoucího k jeho plnění. O skluzech v HMG neprodlené informování příkazce; </w:t>
      </w:r>
    </w:p>
    <w:p w14:paraId="63490F97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kontrola cen stavby na základě rozpočtu dodavatele stavby, který je součástí smlouvy o dílo s dodavatelem stavby, schválení částek k fakturaci, kontrolu, odsouhlasení a písemné potvrzení věcné a cenové správnosti faktur předložených dodavatelem stavby, </w:t>
      </w:r>
    </w:p>
    <w:p w14:paraId="04E80F44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neprodlené informování příkazce o vzniku víceprací nad rámec smlouvy o dílo mezi příkazcem a dodavatelem stavby; </w:t>
      </w:r>
    </w:p>
    <w:p w14:paraId="559E5D66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kontrola oceňování změn (víceprací, odpočtů) a jejich projednání se příkazcem; </w:t>
      </w:r>
    </w:p>
    <w:p w14:paraId="3771E6A6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spolupráce a součinnost se zpracovatelem PD, projektantem, autorským dozorem; </w:t>
      </w:r>
    </w:p>
    <w:p w14:paraId="27AA4AEB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zajištění nápravy případných nedostatků v projektových dokumentacích, jejich projednání s autorským dozorem a projekční kanceláří akce a dodavatelem stavby a příkazcem; </w:t>
      </w:r>
    </w:p>
    <w:p w14:paraId="4B08E054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bezodkladné informování příkazce o všech závažných okolnostech týkajících se realizace stavby </w:t>
      </w:r>
    </w:p>
    <w:p w14:paraId="2E92D0E1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průběžnou přípravu podkladů pro závěrečné vyúčtování stavby; </w:t>
      </w:r>
    </w:p>
    <w:p w14:paraId="516423D3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průběžnou přípravu dokladů nutných pro odevzdání a převzetí díla a zajištění kolaudačního souhlasu v co nejkratším možném čase po ukončení stavby; </w:t>
      </w:r>
    </w:p>
    <w:p w14:paraId="09BF3890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spolupráce s projektantem v rámci jím vykonávaného autorského dozoru; </w:t>
      </w:r>
    </w:p>
    <w:p w14:paraId="07E996CD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zajištění odstranění případných vad a nedodělků, příp. požadavků vyplývajících z předávacího řízení stavby; </w:t>
      </w:r>
    </w:p>
    <w:p w14:paraId="274AE993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řízení a organizace stavby v souladu s platnými směrnicemi a pracovními postupy příkazce; </w:t>
      </w:r>
    </w:p>
    <w:p w14:paraId="7FEF8198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pravidelné podávání písemných informací dle požadavku příkazce o průběhu přípravy a realizace akce, zpracování informací o stavbě dle požadavku příkazce do 24 hodin; </w:t>
      </w:r>
    </w:p>
    <w:p w14:paraId="224B9237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spolupráce s dodavatelem stavby při provádění opatření na odvrácení nebo omezení škod při ohrožení stavby živelnými událostmi; </w:t>
      </w:r>
    </w:p>
    <w:p w14:paraId="48351455" w14:textId="77777777" w:rsidR="009B420C" w:rsidRDefault="009B420C" w:rsidP="009B420C">
      <w:pPr>
        <w:pStyle w:val="Default"/>
        <w:numPr>
          <w:ilvl w:val="0"/>
          <w:numId w:val="20"/>
        </w:numPr>
        <w:spacing w:after="13"/>
        <w:rPr>
          <w:sz w:val="22"/>
          <w:szCs w:val="22"/>
        </w:rPr>
      </w:pPr>
      <w:r>
        <w:rPr>
          <w:sz w:val="22"/>
          <w:szCs w:val="22"/>
        </w:rPr>
        <w:t xml:space="preserve">zajištění aktivace; </w:t>
      </w:r>
    </w:p>
    <w:p w14:paraId="3759DE3E" w14:textId="77777777" w:rsidR="009B420C" w:rsidRDefault="009B420C" w:rsidP="009B420C">
      <w:pPr>
        <w:pStyle w:val="Default"/>
        <w:numPr>
          <w:ilvl w:val="0"/>
          <w:numId w:val="20"/>
        </w:numPr>
        <w:rPr>
          <w:sz w:val="22"/>
          <w:szCs w:val="22"/>
        </w:rPr>
      </w:pPr>
      <w:r>
        <w:rPr>
          <w:sz w:val="22"/>
          <w:szCs w:val="22"/>
        </w:rPr>
        <w:t xml:space="preserve">zajištění operativních povolení, stanovisek apod., týkajících se realizace výstavby. </w:t>
      </w:r>
    </w:p>
    <w:p w14:paraId="22377143" w14:textId="77777777" w:rsidR="009B420C" w:rsidRDefault="009B420C" w:rsidP="009B420C">
      <w:pPr>
        <w:pStyle w:val="Default"/>
        <w:numPr>
          <w:ilvl w:val="0"/>
          <w:numId w:val="21"/>
        </w:numPr>
        <w:rPr>
          <w:color w:val="auto"/>
        </w:rPr>
      </w:pPr>
      <w:r>
        <w:rPr>
          <w:color w:val="auto"/>
        </w:rPr>
        <w:t xml:space="preserve">zajištění kolaudačního souhlasu neprodleně po dokončení stavebních prací. </w:t>
      </w:r>
    </w:p>
    <w:p w14:paraId="4400D9F4" w14:textId="77777777" w:rsidR="009B420C" w:rsidRDefault="009B420C" w:rsidP="009B420C">
      <w:pPr>
        <w:pStyle w:val="Default"/>
        <w:rPr>
          <w:color w:val="auto"/>
        </w:rPr>
      </w:pPr>
    </w:p>
    <w:p w14:paraId="6FB62B79" w14:textId="77777777" w:rsidR="009B420C" w:rsidRDefault="009B420C" w:rsidP="009B420C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Při výkonu činnosti koordinátora BOZP jedná zejména o činnosti: </w:t>
      </w:r>
    </w:p>
    <w:p w14:paraId="3AAEA5E3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zpracování plánu BOZP na staveništi a zajištění seznámení s plánem BOZP všech dotčených subjektů; </w:t>
      </w:r>
    </w:p>
    <w:p w14:paraId="591EC2B7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zpracování zákonné dokumentace BOZP; </w:t>
      </w:r>
    </w:p>
    <w:p w14:paraId="0C20CABD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dohlížení na dodržování a plnění bezpečnostních požadavků; </w:t>
      </w:r>
    </w:p>
    <w:p w14:paraId="610E697C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zaslání oznámení o zahájení prací na oblastní inspektorát práce dle místa stavby a zajištění vyvěšení na viditelném místě u vstupu na stavbu; </w:t>
      </w:r>
    </w:p>
    <w:p w14:paraId="00F19610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informování všech dotčených zhotovitelů stavby o bezpečnostních a zdravotních rizik, která mohou vzniknout nebo vznikla na staveništi během výstavby; </w:t>
      </w:r>
    </w:p>
    <w:p w14:paraId="4F169963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upozorňování zhotovitelů stavby na nedostatky a uplatňování požadavků na bezpečnost a ochranu zdraví při práci a vyžadovat zjednání nápravy – navrhovat přiměřená opatření; </w:t>
      </w:r>
    </w:p>
    <w:p w14:paraId="31073FF0" w14:textId="77777777" w:rsidR="009B420C" w:rsidRDefault="009B420C" w:rsidP="009B420C">
      <w:pPr>
        <w:pStyle w:val="Default"/>
        <w:numPr>
          <w:ilvl w:val="0"/>
          <w:numId w:val="22"/>
        </w:numPr>
        <w:spacing w:after="1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oznamování příkazci stavby případy, kdy zhotovitelé stavby nesplnili požadavky na bezpečnost a ochranu zdraví nebo nepřijali opatření ke zjednání nápravy; </w:t>
      </w:r>
    </w:p>
    <w:p w14:paraId="7E2C9860" w14:textId="77777777" w:rsidR="009B420C" w:rsidRDefault="009B420C" w:rsidP="009B420C">
      <w:pPr>
        <w:pStyle w:val="Default"/>
        <w:numPr>
          <w:ilvl w:val="0"/>
          <w:numId w:val="2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provádění dalších činností stanovených prováděcím právním předpisem. </w:t>
      </w:r>
    </w:p>
    <w:p w14:paraId="0FDE91F0" w14:textId="77777777" w:rsidR="009B420C" w:rsidRDefault="009B420C" w:rsidP="009B420C">
      <w:pPr>
        <w:pStyle w:val="Default"/>
        <w:rPr>
          <w:color w:val="auto"/>
          <w:sz w:val="22"/>
          <w:szCs w:val="22"/>
        </w:rPr>
      </w:pPr>
    </w:p>
    <w:sectPr w:rsidR="009B420C" w:rsidSect="009B420C">
      <w:pgSz w:w="11906" w:h="16838"/>
      <w:pgMar w:top="1440" w:right="1080" w:bottom="1440" w:left="1080" w:header="709" w:footer="19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5F0D" w14:textId="77777777" w:rsidR="002707B5" w:rsidRDefault="002707B5" w:rsidP="00007187">
      <w:r>
        <w:separator/>
      </w:r>
    </w:p>
  </w:endnote>
  <w:endnote w:type="continuationSeparator" w:id="0">
    <w:p w14:paraId="37EC9061" w14:textId="77777777" w:rsidR="002707B5" w:rsidRDefault="002707B5" w:rsidP="00007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50F22E" w14:textId="77777777" w:rsidR="002707B5" w:rsidRDefault="002707B5" w:rsidP="00007187">
      <w:r>
        <w:separator/>
      </w:r>
    </w:p>
  </w:footnote>
  <w:footnote w:type="continuationSeparator" w:id="0">
    <w:p w14:paraId="6732076C" w14:textId="77777777" w:rsidR="002707B5" w:rsidRDefault="002707B5" w:rsidP="000071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6A6A480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CB9E0E5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8DCF2F3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3AD2D42"/>
    <w:multiLevelType w:val="multilevel"/>
    <w:tmpl w:val="0B562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7917A97"/>
    <w:multiLevelType w:val="multilevel"/>
    <w:tmpl w:val="8C38C4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0CD3ADD"/>
    <w:multiLevelType w:val="hybridMultilevel"/>
    <w:tmpl w:val="655036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A6208E"/>
    <w:multiLevelType w:val="hybridMultilevel"/>
    <w:tmpl w:val="1BFCE5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3B0A59"/>
    <w:multiLevelType w:val="multilevel"/>
    <w:tmpl w:val="560C8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31D3B9A"/>
    <w:multiLevelType w:val="hybridMultilevel"/>
    <w:tmpl w:val="A3BCE77A"/>
    <w:lvl w:ilvl="0" w:tplc="0A526E66">
      <w:start w:val="1"/>
      <w:numFmt w:val="decimal"/>
      <w:lvlText w:val="%1."/>
      <w:lvlJc w:val="left"/>
      <w:pPr>
        <w:ind w:left="150" w:hanging="51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720" w:hanging="360"/>
      </w:pPr>
    </w:lvl>
    <w:lvl w:ilvl="2" w:tplc="0405001B" w:tentative="1">
      <w:start w:val="1"/>
      <w:numFmt w:val="lowerRoman"/>
      <w:lvlText w:val="%3."/>
      <w:lvlJc w:val="right"/>
      <w:pPr>
        <w:ind w:left="1440" w:hanging="180"/>
      </w:pPr>
    </w:lvl>
    <w:lvl w:ilvl="3" w:tplc="0405000F" w:tentative="1">
      <w:start w:val="1"/>
      <w:numFmt w:val="decimal"/>
      <w:lvlText w:val="%4."/>
      <w:lvlJc w:val="left"/>
      <w:pPr>
        <w:ind w:left="2160" w:hanging="360"/>
      </w:pPr>
    </w:lvl>
    <w:lvl w:ilvl="4" w:tplc="04050019" w:tentative="1">
      <w:start w:val="1"/>
      <w:numFmt w:val="lowerLetter"/>
      <w:lvlText w:val="%5."/>
      <w:lvlJc w:val="left"/>
      <w:pPr>
        <w:ind w:left="2880" w:hanging="360"/>
      </w:pPr>
    </w:lvl>
    <w:lvl w:ilvl="5" w:tplc="0405001B" w:tentative="1">
      <w:start w:val="1"/>
      <w:numFmt w:val="lowerRoman"/>
      <w:lvlText w:val="%6."/>
      <w:lvlJc w:val="right"/>
      <w:pPr>
        <w:ind w:left="3600" w:hanging="180"/>
      </w:pPr>
    </w:lvl>
    <w:lvl w:ilvl="6" w:tplc="0405000F" w:tentative="1">
      <w:start w:val="1"/>
      <w:numFmt w:val="decimal"/>
      <w:lvlText w:val="%7."/>
      <w:lvlJc w:val="left"/>
      <w:pPr>
        <w:ind w:left="4320" w:hanging="360"/>
      </w:pPr>
    </w:lvl>
    <w:lvl w:ilvl="7" w:tplc="04050019" w:tentative="1">
      <w:start w:val="1"/>
      <w:numFmt w:val="lowerLetter"/>
      <w:lvlText w:val="%8."/>
      <w:lvlJc w:val="left"/>
      <w:pPr>
        <w:ind w:left="5040" w:hanging="360"/>
      </w:pPr>
    </w:lvl>
    <w:lvl w:ilvl="8" w:tplc="040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34044CE6"/>
    <w:multiLevelType w:val="multilevel"/>
    <w:tmpl w:val="A1A83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C2CD6"/>
    <w:multiLevelType w:val="multilevel"/>
    <w:tmpl w:val="B64621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6E53008"/>
    <w:multiLevelType w:val="hybridMultilevel"/>
    <w:tmpl w:val="13809B9C"/>
    <w:lvl w:ilvl="0" w:tplc="CE4CF1C8">
      <w:numFmt w:val="bullet"/>
      <w:lvlText w:val="-"/>
      <w:lvlJc w:val="left"/>
      <w:pPr>
        <w:ind w:left="720" w:hanging="360"/>
      </w:pPr>
      <w:rPr>
        <w:rFonts w:ascii="ArialMT" w:eastAsiaTheme="minorHAnsi" w:hAnsi="ArialMT" w:cs="ArialMT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AD7D15"/>
    <w:multiLevelType w:val="multilevel"/>
    <w:tmpl w:val="D27E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0A6562C"/>
    <w:multiLevelType w:val="hybridMultilevel"/>
    <w:tmpl w:val="AB10F3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3849"/>
    <w:multiLevelType w:val="multilevel"/>
    <w:tmpl w:val="0E2C0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741846"/>
    <w:multiLevelType w:val="hybridMultilevel"/>
    <w:tmpl w:val="1502301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075CF1"/>
    <w:multiLevelType w:val="hybridMultilevel"/>
    <w:tmpl w:val="EEF27EFA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CA0225"/>
    <w:multiLevelType w:val="hybridMultilevel"/>
    <w:tmpl w:val="408A37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EB7FAD"/>
    <w:multiLevelType w:val="hybridMultilevel"/>
    <w:tmpl w:val="12D82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EF00BD"/>
    <w:multiLevelType w:val="hybridMultilevel"/>
    <w:tmpl w:val="E236E8BA"/>
    <w:lvl w:ilvl="0" w:tplc="04050015">
      <w:start w:val="1"/>
      <w:numFmt w:val="upperLetter"/>
      <w:lvlText w:val="%1."/>
      <w:lvlJc w:val="left"/>
      <w:pPr>
        <w:ind w:left="1542" w:hanging="360"/>
      </w:pPr>
    </w:lvl>
    <w:lvl w:ilvl="1" w:tplc="04050019" w:tentative="1">
      <w:start w:val="1"/>
      <w:numFmt w:val="lowerLetter"/>
      <w:lvlText w:val="%2."/>
      <w:lvlJc w:val="left"/>
      <w:pPr>
        <w:ind w:left="2262" w:hanging="360"/>
      </w:pPr>
    </w:lvl>
    <w:lvl w:ilvl="2" w:tplc="0405001B" w:tentative="1">
      <w:start w:val="1"/>
      <w:numFmt w:val="lowerRoman"/>
      <w:lvlText w:val="%3."/>
      <w:lvlJc w:val="right"/>
      <w:pPr>
        <w:ind w:left="2982" w:hanging="180"/>
      </w:pPr>
    </w:lvl>
    <w:lvl w:ilvl="3" w:tplc="0405000F" w:tentative="1">
      <w:start w:val="1"/>
      <w:numFmt w:val="decimal"/>
      <w:lvlText w:val="%4."/>
      <w:lvlJc w:val="left"/>
      <w:pPr>
        <w:ind w:left="3702" w:hanging="360"/>
      </w:pPr>
    </w:lvl>
    <w:lvl w:ilvl="4" w:tplc="04050019" w:tentative="1">
      <w:start w:val="1"/>
      <w:numFmt w:val="lowerLetter"/>
      <w:lvlText w:val="%5."/>
      <w:lvlJc w:val="left"/>
      <w:pPr>
        <w:ind w:left="4422" w:hanging="360"/>
      </w:pPr>
    </w:lvl>
    <w:lvl w:ilvl="5" w:tplc="0405001B" w:tentative="1">
      <w:start w:val="1"/>
      <w:numFmt w:val="lowerRoman"/>
      <w:lvlText w:val="%6."/>
      <w:lvlJc w:val="right"/>
      <w:pPr>
        <w:ind w:left="5142" w:hanging="180"/>
      </w:pPr>
    </w:lvl>
    <w:lvl w:ilvl="6" w:tplc="0405000F" w:tentative="1">
      <w:start w:val="1"/>
      <w:numFmt w:val="decimal"/>
      <w:lvlText w:val="%7."/>
      <w:lvlJc w:val="left"/>
      <w:pPr>
        <w:ind w:left="5862" w:hanging="360"/>
      </w:pPr>
    </w:lvl>
    <w:lvl w:ilvl="7" w:tplc="04050019" w:tentative="1">
      <w:start w:val="1"/>
      <w:numFmt w:val="lowerLetter"/>
      <w:lvlText w:val="%8."/>
      <w:lvlJc w:val="left"/>
      <w:pPr>
        <w:ind w:left="6582" w:hanging="360"/>
      </w:pPr>
    </w:lvl>
    <w:lvl w:ilvl="8" w:tplc="0405001B" w:tentative="1">
      <w:start w:val="1"/>
      <w:numFmt w:val="lowerRoman"/>
      <w:lvlText w:val="%9."/>
      <w:lvlJc w:val="right"/>
      <w:pPr>
        <w:ind w:left="7302" w:hanging="180"/>
      </w:pPr>
    </w:lvl>
  </w:abstractNum>
  <w:abstractNum w:abstractNumId="20" w15:restartNumberingAfterBreak="0">
    <w:nsid w:val="7185571E"/>
    <w:multiLevelType w:val="hybridMultilevel"/>
    <w:tmpl w:val="3F7A8D6A"/>
    <w:lvl w:ilvl="0" w:tplc="15524B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052088">
    <w:abstractNumId w:val="3"/>
  </w:num>
  <w:num w:numId="2" w16cid:durableId="1334455983">
    <w:abstractNumId w:val="16"/>
  </w:num>
  <w:num w:numId="3" w16cid:durableId="1389963528">
    <w:abstractNumId w:val="11"/>
  </w:num>
  <w:num w:numId="4" w16cid:durableId="881477302">
    <w:abstractNumId w:val="5"/>
  </w:num>
  <w:num w:numId="5" w16cid:durableId="101153871">
    <w:abstractNumId w:val="8"/>
  </w:num>
  <w:num w:numId="6" w16cid:durableId="735667406">
    <w:abstractNumId w:val="14"/>
  </w:num>
  <w:num w:numId="7" w16cid:durableId="1827278759">
    <w:abstractNumId w:val="9"/>
  </w:num>
  <w:num w:numId="8" w16cid:durableId="361640004">
    <w:abstractNumId w:val="12"/>
  </w:num>
  <w:num w:numId="9" w16cid:durableId="17242119">
    <w:abstractNumId w:val="18"/>
  </w:num>
  <w:num w:numId="10" w16cid:durableId="72752954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57075598">
    <w:abstractNumId w:val="20"/>
  </w:num>
  <w:num w:numId="12" w16cid:durableId="46804895">
    <w:abstractNumId w:val="19"/>
  </w:num>
  <w:num w:numId="13" w16cid:durableId="1764371594">
    <w:abstractNumId w:val="15"/>
  </w:num>
  <w:num w:numId="14" w16cid:durableId="482284693">
    <w:abstractNumId w:val="13"/>
  </w:num>
  <w:num w:numId="15" w16cid:durableId="2066563199">
    <w:abstractNumId w:val="6"/>
  </w:num>
  <w:num w:numId="16" w16cid:durableId="1773162316">
    <w:abstractNumId w:val="17"/>
  </w:num>
  <w:num w:numId="17" w16cid:durableId="1416437534">
    <w:abstractNumId w:val="10"/>
  </w:num>
  <w:num w:numId="18" w16cid:durableId="1875846448">
    <w:abstractNumId w:val="4"/>
  </w:num>
  <w:num w:numId="19" w16cid:durableId="109058634">
    <w:abstractNumId w:val="7"/>
  </w:num>
  <w:num w:numId="20" w16cid:durableId="1681657613">
    <w:abstractNumId w:val="2"/>
  </w:num>
  <w:num w:numId="21" w16cid:durableId="693575829">
    <w:abstractNumId w:val="1"/>
  </w:num>
  <w:num w:numId="22" w16cid:durableId="814564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B5B"/>
    <w:rsid w:val="00007187"/>
    <w:rsid w:val="000105EC"/>
    <w:rsid w:val="00010BA5"/>
    <w:rsid w:val="00012D62"/>
    <w:rsid w:val="000260F0"/>
    <w:rsid w:val="0003087F"/>
    <w:rsid w:val="00032978"/>
    <w:rsid w:val="00043E28"/>
    <w:rsid w:val="00047BD9"/>
    <w:rsid w:val="00051280"/>
    <w:rsid w:val="00071193"/>
    <w:rsid w:val="000756A5"/>
    <w:rsid w:val="000868CC"/>
    <w:rsid w:val="0009217F"/>
    <w:rsid w:val="00096E1E"/>
    <w:rsid w:val="000A0A63"/>
    <w:rsid w:val="000A7B43"/>
    <w:rsid w:val="000B45B6"/>
    <w:rsid w:val="001140F7"/>
    <w:rsid w:val="00167B5B"/>
    <w:rsid w:val="00167E5A"/>
    <w:rsid w:val="00180FD5"/>
    <w:rsid w:val="001B2CB5"/>
    <w:rsid w:val="001C4380"/>
    <w:rsid w:val="001C5CA7"/>
    <w:rsid w:val="001D33E8"/>
    <w:rsid w:val="001E2789"/>
    <w:rsid w:val="001E4A95"/>
    <w:rsid w:val="001E73AB"/>
    <w:rsid w:val="001F6520"/>
    <w:rsid w:val="0021125B"/>
    <w:rsid w:val="00212AB2"/>
    <w:rsid w:val="00221875"/>
    <w:rsid w:val="00224210"/>
    <w:rsid w:val="002707B5"/>
    <w:rsid w:val="00270E5B"/>
    <w:rsid w:val="002837C2"/>
    <w:rsid w:val="00294EB0"/>
    <w:rsid w:val="002C6D25"/>
    <w:rsid w:val="0030349D"/>
    <w:rsid w:val="003130A6"/>
    <w:rsid w:val="00316ECE"/>
    <w:rsid w:val="003402EF"/>
    <w:rsid w:val="00357D71"/>
    <w:rsid w:val="003733B8"/>
    <w:rsid w:val="0038312E"/>
    <w:rsid w:val="003A1D79"/>
    <w:rsid w:val="003B3D61"/>
    <w:rsid w:val="003C5988"/>
    <w:rsid w:val="003C71B5"/>
    <w:rsid w:val="003D55E1"/>
    <w:rsid w:val="003E0B78"/>
    <w:rsid w:val="003E165F"/>
    <w:rsid w:val="003E377B"/>
    <w:rsid w:val="003E50CD"/>
    <w:rsid w:val="00411D11"/>
    <w:rsid w:val="00425595"/>
    <w:rsid w:val="00447843"/>
    <w:rsid w:val="00460800"/>
    <w:rsid w:val="00465F19"/>
    <w:rsid w:val="00496F24"/>
    <w:rsid w:val="004A1C48"/>
    <w:rsid w:val="004B11E3"/>
    <w:rsid w:val="004B7DDE"/>
    <w:rsid w:val="004C04C5"/>
    <w:rsid w:val="004C1369"/>
    <w:rsid w:val="004D4201"/>
    <w:rsid w:val="004D5F14"/>
    <w:rsid w:val="004D6245"/>
    <w:rsid w:val="004D756F"/>
    <w:rsid w:val="0050546D"/>
    <w:rsid w:val="00506181"/>
    <w:rsid w:val="00511A19"/>
    <w:rsid w:val="00546921"/>
    <w:rsid w:val="00547203"/>
    <w:rsid w:val="0055609B"/>
    <w:rsid w:val="00564207"/>
    <w:rsid w:val="00565A04"/>
    <w:rsid w:val="0056788E"/>
    <w:rsid w:val="005922D3"/>
    <w:rsid w:val="00592AA1"/>
    <w:rsid w:val="0059473B"/>
    <w:rsid w:val="005A66FB"/>
    <w:rsid w:val="005B032C"/>
    <w:rsid w:val="005E74B0"/>
    <w:rsid w:val="005F6A0E"/>
    <w:rsid w:val="006311CE"/>
    <w:rsid w:val="00633B2A"/>
    <w:rsid w:val="00645CA5"/>
    <w:rsid w:val="00654F47"/>
    <w:rsid w:val="00670999"/>
    <w:rsid w:val="00682055"/>
    <w:rsid w:val="006A2E66"/>
    <w:rsid w:val="006A5B52"/>
    <w:rsid w:val="006A616D"/>
    <w:rsid w:val="006C665E"/>
    <w:rsid w:val="006C6843"/>
    <w:rsid w:val="006E0A99"/>
    <w:rsid w:val="006F29ED"/>
    <w:rsid w:val="007049CF"/>
    <w:rsid w:val="007303A5"/>
    <w:rsid w:val="00764363"/>
    <w:rsid w:val="00771382"/>
    <w:rsid w:val="0077425D"/>
    <w:rsid w:val="007821E5"/>
    <w:rsid w:val="007954FD"/>
    <w:rsid w:val="007971D6"/>
    <w:rsid w:val="007C00FA"/>
    <w:rsid w:val="007C408C"/>
    <w:rsid w:val="007F6B23"/>
    <w:rsid w:val="00802130"/>
    <w:rsid w:val="00813D74"/>
    <w:rsid w:val="00840890"/>
    <w:rsid w:val="00847E76"/>
    <w:rsid w:val="00873E17"/>
    <w:rsid w:val="00884502"/>
    <w:rsid w:val="008870FA"/>
    <w:rsid w:val="008A33CB"/>
    <w:rsid w:val="008B0C2D"/>
    <w:rsid w:val="008B3F29"/>
    <w:rsid w:val="008C1846"/>
    <w:rsid w:val="00910B29"/>
    <w:rsid w:val="00911EDC"/>
    <w:rsid w:val="00914029"/>
    <w:rsid w:val="009143B6"/>
    <w:rsid w:val="0092209D"/>
    <w:rsid w:val="00930B46"/>
    <w:rsid w:val="00933548"/>
    <w:rsid w:val="00950452"/>
    <w:rsid w:val="00994831"/>
    <w:rsid w:val="00997C72"/>
    <w:rsid w:val="009A39B1"/>
    <w:rsid w:val="009A757E"/>
    <w:rsid w:val="009B420C"/>
    <w:rsid w:val="009C7FD7"/>
    <w:rsid w:val="009D2638"/>
    <w:rsid w:val="00A11017"/>
    <w:rsid w:val="00A1466C"/>
    <w:rsid w:val="00A26BDF"/>
    <w:rsid w:val="00A32306"/>
    <w:rsid w:val="00A37698"/>
    <w:rsid w:val="00A43769"/>
    <w:rsid w:val="00A4557A"/>
    <w:rsid w:val="00A50FEB"/>
    <w:rsid w:val="00A53B66"/>
    <w:rsid w:val="00A53CAA"/>
    <w:rsid w:val="00A561AF"/>
    <w:rsid w:val="00A70439"/>
    <w:rsid w:val="00A76F74"/>
    <w:rsid w:val="00A77E12"/>
    <w:rsid w:val="00A8385F"/>
    <w:rsid w:val="00AA5F12"/>
    <w:rsid w:val="00AB1D64"/>
    <w:rsid w:val="00AB43A2"/>
    <w:rsid w:val="00AC2EEC"/>
    <w:rsid w:val="00AF54EA"/>
    <w:rsid w:val="00B10D2E"/>
    <w:rsid w:val="00B22C58"/>
    <w:rsid w:val="00B27D5F"/>
    <w:rsid w:val="00B30E66"/>
    <w:rsid w:val="00B751C2"/>
    <w:rsid w:val="00B83C46"/>
    <w:rsid w:val="00B864A1"/>
    <w:rsid w:val="00BB1960"/>
    <w:rsid w:val="00BC31E5"/>
    <w:rsid w:val="00BD24E9"/>
    <w:rsid w:val="00BE1039"/>
    <w:rsid w:val="00BF62DB"/>
    <w:rsid w:val="00C1014B"/>
    <w:rsid w:val="00C14F09"/>
    <w:rsid w:val="00C43138"/>
    <w:rsid w:val="00C4681A"/>
    <w:rsid w:val="00C47FEA"/>
    <w:rsid w:val="00CB3F96"/>
    <w:rsid w:val="00CB6F49"/>
    <w:rsid w:val="00CB7765"/>
    <w:rsid w:val="00CC2551"/>
    <w:rsid w:val="00CC7825"/>
    <w:rsid w:val="00D10865"/>
    <w:rsid w:val="00D16084"/>
    <w:rsid w:val="00D46247"/>
    <w:rsid w:val="00D54A25"/>
    <w:rsid w:val="00D64020"/>
    <w:rsid w:val="00D73004"/>
    <w:rsid w:val="00D76899"/>
    <w:rsid w:val="00D85B48"/>
    <w:rsid w:val="00DA743B"/>
    <w:rsid w:val="00DB7454"/>
    <w:rsid w:val="00DC261F"/>
    <w:rsid w:val="00E04408"/>
    <w:rsid w:val="00E10BA6"/>
    <w:rsid w:val="00E13C01"/>
    <w:rsid w:val="00E212BF"/>
    <w:rsid w:val="00E45F1F"/>
    <w:rsid w:val="00E82B1F"/>
    <w:rsid w:val="00E87C5D"/>
    <w:rsid w:val="00EF0EC2"/>
    <w:rsid w:val="00F22280"/>
    <w:rsid w:val="00F23862"/>
    <w:rsid w:val="00F322C3"/>
    <w:rsid w:val="00F36310"/>
    <w:rsid w:val="00F57356"/>
    <w:rsid w:val="00F72FD4"/>
    <w:rsid w:val="00F854FB"/>
    <w:rsid w:val="00F8653F"/>
    <w:rsid w:val="00F86A74"/>
    <w:rsid w:val="00FB67A6"/>
    <w:rsid w:val="00FC14BA"/>
    <w:rsid w:val="00FC1D85"/>
    <w:rsid w:val="00FC7145"/>
    <w:rsid w:val="00FD0A1E"/>
    <w:rsid w:val="00FE4E53"/>
    <w:rsid w:val="00FE7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6CA74"/>
  <w15:docId w15:val="{2BEC230E-96E4-47F4-B84D-F54142DDC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1101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A11017"/>
    <w:rPr>
      <w:color w:val="0563C1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1101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1101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E4E53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8870F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8870F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00718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hlavChar">
    <w:name w:val="Záhlaví Char"/>
    <w:basedOn w:val="Standardnpsmoodstavce"/>
    <w:link w:val="Zhlav"/>
    <w:uiPriority w:val="99"/>
    <w:rsid w:val="00007187"/>
  </w:style>
  <w:style w:type="paragraph" w:styleId="Zpat">
    <w:name w:val="footer"/>
    <w:basedOn w:val="Normln"/>
    <w:link w:val="ZpatChar"/>
    <w:uiPriority w:val="99"/>
    <w:unhideWhenUsed/>
    <w:rsid w:val="00007187"/>
    <w:pPr>
      <w:tabs>
        <w:tab w:val="center" w:pos="4536"/>
        <w:tab w:val="right" w:pos="9072"/>
      </w:tabs>
    </w:pPr>
    <w:rPr>
      <w:rFonts w:asciiTheme="minorHAnsi" w:hAnsiTheme="minorHAnsi" w:cstheme="minorBidi"/>
    </w:rPr>
  </w:style>
  <w:style w:type="character" w:customStyle="1" w:styleId="ZpatChar">
    <w:name w:val="Zápatí Char"/>
    <w:basedOn w:val="Standardnpsmoodstavce"/>
    <w:link w:val="Zpat"/>
    <w:uiPriority w:val="99"/>
    <w:rsid w:val="00007187"/>
  </w:style>
  <w:style w:type="paragraph" w:customStyle="1" w:styleId="xmsonormal">
    <w:name w:val="x_msonormal"/>
    <w:basedOn w:val="Normln"/>
    <w:rsid w:val="00910B29"/>
    <w:rPr>
      <w:rFonts w:ascii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BD2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semiHidden/>
    <w:unhideWhenUsed/>
    <w:rsid w:val="001D33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33E8"/>
    <w:rPr>
      <w:rFonts w:ascii="Calibri" w:hAnsi="Calibri" w:cs="Calibri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1D33E8"/>
    <w:rPr>
      <w:sz w:val="16"/>
      <w:szCs w:val="16"/>
    </w:rPr>
  </w:style>
  <w:style w:type="paragraph" w:customStyle="1" w:styleId="TableParagraph">
    <w:name w:val="Table Paragraph"/>
    <w:basedOn w:val="Normln"/>
    <w:uiPriority w:val="1"/>
    <w:qFormat/>
    <w:rsid w:val="00933548"/>
    <w:pPr>
      <w:widowControl w:val="0"/>
      <w:autoSpaceDE w:val="0"/>
      <w:autoSpaceDN w:val="0"/>
    </w:pPr>
    <w:rPr>
      <w:rFonts w:ascii="Times New Roman" w:eastAsia="Times New Roman" w:hAnsi="Times New Roman" w:cs="Times New Roman"/>
      <w:lang w:eastAsia="cs-CZ" w:bidi="cs-CZ"/>
    </w:rPr>
  </w:style>
  <w:style w:type="paragraph" w:styleId="Zkladntext">
    <w:name w:val="Body Text"/>
    <w:basedOn w:val="Normln"/>
    <w:link w:val="ZkladntextChar"/>
    <w:uiPriority w:val="1"/>
    <w:qFormat/>
    <w:rsid w:val="00933548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933548"/>
    <w:rPr>
      <w:rFonts w:ascii="Times New Roman" w:eastAsia="Times New Roman" w:hAnsi="Times New Roman" w:cs="Times New Roman"/>
      <w:sz w:val="24"/>
      <w:szCs w:val="24"/>
      <w:lang w:eastAsia="cs-CZ" w:bidi="cs-CZ"/>
    </w:rPr>
  </w:style>
  <w:style w:type="character" w:styleId="Nevyeenzmnka">
    <w:name w:val="Unresolved Mention"/>
    <w:basedOn w:val="Standardnpsmoodstavce"/>
    <w:uiPriority w:val="99"/>
    <w:semiHidden/>
    <w:unhideWhenUsed/>
    <w:rsid w:val="009C7FD7"/>
    <w:rPr>
      <w:color w:val="605E5C"/>
      <w:shd w:val="clear" w:color="auto" w:fill="E1DFDD"/>
    </w:rPr>
  </w:style>
  <w:style w:type="paragraph" w:customStyle="1" w:styleId="Default">
    <w:name w:val="Default"/>
    <w:rsid w:val="009B420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18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4390">
          <w:marLeft w:val="0"/>
          <w:marRight w:val="0"/>
          <w:marTop w:val="0"/>
          <w:marBottom w:val="0"/>
          <w:divBdr>
            <w:top w:val="none" w:sz="0" w:space="7" w:color="E6EBF0"/>
            <w:left w:val="none" w:sz="0" w:space="31" w:color="E6EBF0"/>
            <w:bottom w:val="single" w:sz="6" w:space="7" w:color="E6EBF0"/>
            <w:right w:val="none" w:sz="0" w:space="31" w:color="E6EBF0"/>
          </w:divBdr>
          <w:divsChild>
            <w:div w:id="3351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652209">
          <w:marLeft w:val="0"/>
          <w:marRight w:val="0"/>
          <w:marTop w:val="0"/>
          <w:marBottom w:val="0"/>
          <w:divBdr>
            <w:top w:val="none" w:sz="0" w:space="15" w:color="E6EBF0"/>
            <w:left w:val="none" w:sz="0" w:space="15" w:color="E6EBF0"/>
            <w:bottom w:val="none" w:sz="0" w:space="15" w:color="E6EBF0"/>
            <w:right w:val="none" w:sz="0" w:space="15" w:color="E6EBF0"/>
          </w:divBdr>
          <w:divsChild>
            <w:div w:id="76337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29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48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99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56811">
              <w:marLeft w:val="97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87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012618">
              <w:marLeft w:val="0"/>
              <w:marRight w:val="19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0973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354133">
                      <w:marLeft w:val="9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136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39433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5638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9408310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970401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940337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014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4214759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281214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978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7984923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606217">
                  <w:marLeft w:val="9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567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3942756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15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63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95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77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3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8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81902">
          <w:marLeft w:val="675"/>
          <w:marRight w:val="150"/>
          <w:marTop w:val="0"/>
          <w:marBottom w:val="0"/>
          <w:divBdr>
            <w:top w:val="single" w:sz="24" w:space="8" w:color="CCCACB"/>
            <w:left w:val="single" w:sz="6" w:space="8" w:color="CCCACB"/>
            <w:bottom w:val="single" w:sz="6" w:space="11" w:color="CCCACB"/>
            <w:right w:val="single" w:sz="6" w:space="8" w:color="CCCACB"/>
          </w:divBdr>
        </w:div>
        <w:div w:id="22751697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95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3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180510">
          <w:marLeft w:val="675"/>
          <w:marRight w:val="150"/>
          <w:marTop w:val="0"/>
          <w:marBottom w:val="0"/>
          <w:divBdr>
            <w:top w:val="single" w:sz="24" w:space="8" w:color="CCCACB"/>
            <w:left w:val="single" w:sz="6" w:space="8" w:color="CCCACB"/>
            <w:bottom w:val="single" w:sz="6" w:space="11" w:color="CCCACB"/>
            <w:right w:val="single" w:sz="6" w:space="8" w:color="CCCACB"/>
          </w:divBdr>
          <w:divsChild>
            <w:div w:id="8656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8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6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01EF-42D1-449D-8588-71F3A8EB0D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553</Words>
  <Characters>3264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Döllinger Ilja</dc:creator>
  <cp:lastModifiedBy>Döllinger Ilja</cp:lastModifiedBy>
  <cp:revision>4</cp:revision>
  <cp:lastPrinted>2025-01-02T09:44:00Z</cp:lastPrinted>
  <dcterms:created xsi:type="dcterms:W3CDTF">2025-04-01T11:55:00Z</dcterms:created>
  <dcterms:modified xsi:type="dcterms:W3CDTF">2025-04-01T11:56:00Z</dcterms:modified>
</cp:coreProperties>
</file>