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0" w:name="bookmark0"/>
      <w:r>
        <w:rPr>
          <w:rStyle w:val="CharStyle5"/>
        </w:rPr>
        <w:t>Illllllllllllllllllllllll</w:t>
      </w:r>
      <w:bookmarkEnd w:id="0"/>
    </w:p>
    <w:tbl>
      <w:tblPr>
        <w:tblOverlap w:val="never"/>
        <w:jc w:val="center"/>
        <w:tblLayout w:type="fixed"/>
      </w:tblPr>
      <w:tblGrid>
        <w:gridCol w:w="2717"/>
        <w:gridCol w:w="6749"/>
      </w:tblGrid>
      <w:tr>
        <w:trPr>
          <w:trHeight w:val="51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440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sz w:val="16"/>
                <w:szCs w:val="16"/>
              </w:rPr>
              <w:t>2025003437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leader="underscore" w:pos="6674" w:val="left"/>
              </w:tabs>
              <w:bidi w:val="0"/>
              <w:spacing w:before="0" w:after="0" w:line="240" w:lineRule="auto"/>
              <w:ind w:left="0" w:right="0" w:firstLine="660"/>
              <w:jc w:val="left"/>
              <w:rPr>
                <w:sz w:val="24"/>
                <w:szCs w:val="24"/>
              </w:rPr>
            </w:pPr>
            <w:r>
              <w:rPr>
                <w:rStyle w:val="CharStyle11"/>
                <w:b/>
                <w:bCs/>
                <w:sz w:val="24"/>
                <w:szCs w:val="24"/>
              </w:rPr>
              <w:t xml:space="preserve">SMLOUVA O VÝPŮJČCE </w:t>
              <w:tab/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bookmarkStart w:id="2" w:name="bookmark2"/>
      <w:r>
        <w:rPr>
          <w:rStyle w:val="CharStyle15"/>
        </w:rPr>
        <w:t>uzavřená v souladu s ustanovením § 2193 a násl. zákona č. 89/2012 Sb., občanský zákoník, mezi níže uvedenými smluvními stranami</w:t>
      </w:r>
      <w:bookmarkEnd w:id="2"/>
    </w:p>
    <w:tbl>
      <w:tblPr>
        <w:tblOverlap w:val="never"/>
        <w:jc w:val="center"/>
        <w:tblLayout w:type="fixed"/>
      </w:tblPr>
      <w:tblGrid>
        <w:gridCol w:w="2717"/>
        <w:gridCol w:w="6749"/>
      </w:tblGrid>
      <w:tr>
        <w:trPr>
          <w:trHeight w:val="5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Kamenice 798/1 d, 625 00 Brno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MUDr. Hana Albrechtová, ředitelka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spacing w:val="1"/>
                <w:shd w:val="clear" w:color="auto" w:fill="000000"/>
              </w:rPr>
              <w:t>..</w:t>
            </w:r>
            <w:r>
              <w:rPr>
                <w:rStyle w:val="CharStyle11"/>
                <w:spacing w:val="2"/>
                <w:shd w:val="clear" w:color="auto" w:fill="000000"/>
              </w:rPr>
              <w:t>....</w:t>
            </w:r>
            <w:r>
              <w:rPr>
                <w:rStyle w:val="CharStyle11"/>
                <w:shd w:val="clear" w:color="auto" w:fill="000000"/>
              </w:rPr>
              <w:t>​</w:t>
            </w:r>
            <w:r>
              <w:rPr>
                <w:rStyle w:val="CharStyle11"/>
                <w:spacing w:val="8"/>
                <w:shd w:val="clear" w:color="auto" w:fill="000000"/>
              </w:rPr>
              <w:t>....</w:t>
            </w:r>
            <w:r>
              <w:rPr>
                <w:rStyle w:val="CharStyle11"/>
                <w:spacing w:val="9"/>
                <w:shd w:val="clear" w:color="auto" w:fill="000000"/>
              </w:rPr>
              <w:t>.</w:t>
            </w:r>
            <w:r>
              <w:rPr>
                <w:rStyle w:val="CharStyle11"/>
                <w:shd w:val="clear" w:color="auto" w:fill="000000"/>
              </w:rPr>
              <w:t>​</w:t>
            </w:r>
            <w:r>
              <w:rPr>
                <w:rStyle w:val="CharStyle11"/>
                <w:spacing w:val="3"/>
                <w:shd w:val="clear" w:color="auto" w:fill="000000"/>
              </w:rPr>
              <w:t>...........</w:t>
            </w:r>
            <w:r>
              <w:rPr>
                <w:rStyle w:val="CharStyle11"/>
                <w:spacing w:val="4"/>
                <w:shd w:val="clear" w:color="auto" w:fill="000000"/>
              </w:rPr>
              <w:t>..</w:t>
            </w:r>
            <w:r>
              <w:rPr>
                <w:rStyle w:val="CharStyle11"/>
                <w:shd w:val="clear" w:color="auto" w:fill="000000"/>
              </w:rPr>
              <w:t>​</w:t>
            </w:r>
            <w:r>
              <w:rPr>
                <w:rStyle w:val="CharStyle11"/>
                <w:spacing w:val="5"/>
                <w:shd w:val="clear" w:color="auto" w:fill="000000"/>
              </w:rPr>
              <w:t>.......</w:t>
            </w:r>
            <w:r>
              <w:rPr>
                <w:rStyle w:val="CharStyle11"/>
                <w:spacing w:val="6"/>
                <w:shd w:val="clear" w:color="auto" w:fill="000000"/>
              </w:rPr>
              <w:t>.</w:t>
            </w:r>
            <w:r>
              <w:rPr>
                <w:rStyle w:val="CharStyle11"/>
                <w:shd w:val="clear" w:color="auto" w:fill="000000"/>
              </w:rPr>
              <w:t>​</w:t>
            </w:r>
            <w:r>
              <w:rPr>
                <w:rStyle w:val="CharStyle11"/>
                <w:spacing w:val="3"/>
                <w:shd w:val="clear" w:color="auto" w:fill="000000"/>
              </w:rPr>
              <w:t>..</w:t>
            </w:r>
            <w:r>
              <w:rPr>
                <w:rStyle w:val="CharStyle11"/>
                <w:spacing w:val="4"/>
                <w:shd w:val="clear" w:color="auto" w:fill="000000"/>
              </w:rPr>
              <w:t>.</w:t>
            </w:r>
            <w:r>
              <w:rPr>
                <w:rStyle w:val="CharStyle11"/>
                <w:shd w:val="clear" w:color="auto" w:fill="000000"/>
              </w:rPr>
              <w:t>​</w:t>
            </w:r>
            <w:r>
              <w:rPr>
                <w:rStyle w:val="CharStyle11"/>
                <w:spacing w:val="3"/>
                <w:shd w:val="clear" w:color="auto" w:fill="000000"/>
              </w:rPr>
              <w:t>..</w:t>
            </w:r>
            <w:r>
              <w:rPr>
                <w:rStyle w:val="CharStyle11"/>
                <w:spacing w:val="4"/>
                <w:shd w:val="clear" w:color="auto" w:fill="000000"/>
              </w:rPr>
              <w:t>......</w:t>
            </w:r>
            <w:r>
              <w:rPr>
                <w:rStyle w:val="CharStyle11"/>
                <w:shd w:val="clear" w:color="auto" w:fill="000000"/>
                <w:lang w:val="en-US" w:eastAsia="en-US" w:bidi="en-US"/>
              </w:rPr>
              <w:t>​..........</w:t>
            </w:r>
            <w:r>
              <w:rPr>
                <w:rStyle w:val="CharStyle11"/>
                <w:spacing w:val="1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CharStyle11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11"/>
                <w:shd w:val="clear" w:color="auto" w:fill="000000"/>
              </w:rPr>
              <w:t>​</w:t>
            </w:r>
            <w:r>
              <w:rPr>
                <w:rStyle w:val="CharStyle11"/>
                <w:spacing w:val="7"/>
                <w:shd w:val="clear" w:color="auto" w:fill="000000"/>
              </w:rPr>
              <w:t>......</w:t>
            </w:r>
            <w:r>
              <w:rPr>
                <w:rStyle w:val="CharStyle11"/>
                <w:shd w:val="clear" w:color="auto" w:fill="000000"/>
              </w:rPr>
              <w:t>​....</w:t>
            </w:r>
            <w:r>
              <w:rPr>
                <w:rStyle w:val="CharStyle11"/>
                <w:spacing w:val="1"/>
                <w:shd w:val="clear" w:color="auto" w:fill="000000"/>
              </w:rPr>
              <w:t>.....</w:t>
            </w:r>
            <w:r>
              <w:rPr>
                <w:rStyle w:val="CharStyle11"/>
                <w:shd w:val="clear" w:color="auto" w:fill="000000"/>
              </w:rPr>
              <w:t>​.......​</w:t>
            </w:r>
            <w:r>
              <w:rPr>
                <w:rStyle w:val="CharStyle11"/>
                <w:spacing w:val="6"/>
                <w:shd w:val="clear" w:color="auto" w:fill="000000"/>
              </w:rPr>
              <w:t>...</w:t>
            </w:r>
            <w:r>
              <w:rPr>
                <w:rStyle w:val="CharStyle11"/>
                <w:spacing w:val="7"/>
                <w:shd w:val="clear" w:color="auto" w:fill="000000"/>
              </w:rPr>
              <w:t>...</w:t>
            </w:r>
            <w:r>
              <w:rPr>
                <w:rStyle w:val="CharStyle11"/>
                <w:shd w:val="clear" w:color="auto" w:fill="000000"/>
              </w:rPr>
              <w:t>​......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00346292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CZ00346292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Zápis v QR: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Krajský soud v Brně, sp. zn. Pr 1245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MONETA Money Bank, a.s., č. ú. 117203514/0600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 xml:space="preserve">(dále jen </w:t>
      </w:r>
      <w:r>
        <w:rPr>
          <w:rStyle w:val="CharStyle17"/>
          <w:b/>
          <w:bCs/>
          <w:i/>
          <w:iCs/>
        </w:rPr>
        <w:t>„vypůjčíte?)</w:t>
      </w:r>
    </w:p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717"/>
        <w:gridCol w:w="6749"/>
      </w:tblGrid>
      <w:tr>
        <w:trPr>
          <w:trHeight w:val="5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d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Jméno:.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DEVELOP Systems, s.r.o.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Matlachova 105/7, 627 00 Brno - Slatina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Mgr. Helena Hartlová, jednatelka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spacing w:val="7"/>
                <w:shd w:val="clear" w:color="auto" w:fill="000000"/>
              </w:rPr>
              <w:t>....</w:t>
            </w:r>
            <w:r>
              <w:rPr>
                <w:rStyle w:val="CharStyle11"/>
                <w:spacing w:val="8"/>
                <w:shd w:val="clear" w:color="auto" w:fill="000000"/>
              </w:rPr>
              <w:t>...</w:t>
            </w:r>
            <w:r>
              <w:rPr>
                <w:rStyle w:val="CharStyle11"/>
                <w:shd w:val="clear" w:color="auto" w:fill="000000"/>
              </w:rPr>
              <w:t>​</w:t>
            </w:r>
            <w:r>
              <w:rPr>
                <w:rStyle w:val="CharStyle11"/>
                <w:spacing w:val="1"/>
                <w:shd w:val="clear" w:color="auto" w:fill="000000"/>
              </w:rPr>
              <w:t>....</w:t>
            </w:r>
            <w:r>
              <w:rPr>
                <w:rStyle w:val="CharStyle11"/>
                <w:spacing w:val="2"/>
                <w:shd w:val="clear" w:color="auto" w:fill="000000"/>
              </w:rPr>
              <w:t>........</w:t>
            </w:r>
            <w:r>
              <w:rPr>
                <w:rStyle w:val="CharStyle11"/>
                <w:shd w:val="clear" w:color="auto" w:fill="000000"/>
              </w:rPr>
              <w:t>​</w:t>
            </w:r>
            <w:r>
              <w:rPr>
                <w:rStyle w:val="CharStyle11"/>
                <w:spacing w:val="1"/>
                <w:shd w:val="clear" w:color="auto" w:fill="000000"/>
              </w:rPr>
              <w:t>...........</w:t>
            </w:r>
            <w:r>
              <w:rPr>
                <w:rStyle w:val="CharStyle11"/>
                <w:spacing w:val="2"/>
                <w:shd w:val="clear" w:color="auto" w:fill="000000"/>
              </w:rPr>
              <w:t>....</w:t>
            </w:r>
            <w:r>
              <w:rPr>
                <w:rStyle w:val="CharStyle11"/>
                <w:shd w:val="clear" w:color="auto" w:fill="000000"/>
              </w:rPr>
              <w:t>​</w:t>
            </w:r>
            <w:r>
              <w:rPr>
                <w:rStyle w:val="CharStyle11"/>
                <w:spacing w:val="3"/>
                <w:shd w:val="clear" w:color="auto" w:fill="000000"/>
              </w:rPr>
              <w:t>..</w:t>
            </w:r>
            <w:r>
              <w:rPr>
                <w:rStyle w:val="CharStyle11"/>
                <w:spacing w:val="4"/>
                <w:shd w:val="clear" w:color="auto" w:fill="000000"/>
              </w:rPr>
              <w:t>.</w:t>
            </w:r>
            <w:r>
              <w:rPr>
                <w:rStyle w:val="CharStyle11"/>
                <w:shd w:val="clear" w:color="auto" w:fill="000000"/>
              </w:rPr>
              <w:t>​</w:t>
            </w:r>
            <w:r>
              <w:rPr>
                <w:rStyle w:val="CharStyle11"/>
                <w:spacing w:val="4"/>
                <w:shd w:val="clear" w:color="auto" w:fill="000000"/>
              </w:rPr>
              <w:t>.....</w:t>
            </w:r>
            <w:r>
              <w:rPr>
                <w:rStyle w:val="CharStyle11"/>
                <w:spacing w:val="5"/>
                <w:shd w:val="clear" w:color="auto" w:fill="000000"/>
              </w:rPr>
              <w:t>..</w:t>
            </w:r>
            <w:r>
              <w:rPr>
                <w:rStyle w:val="CharStyle11"/>
                <w:shd w:val="clear" w:color="auto" w:fill="000000"/>
              </w:rPr>
              <w:t>....................</w:t>
            </w:r>
            <w:r>
              <w:rPr>
                <w:rStyle w:val="CharStyle11"/>
                <w:spacing w:val="1"/>
                <w:shd w:val="clear" w:color="auto" w:fill="000000"/>
              </w:rPr>
              <w:t>..........</w:t>
            </w:r>
            <w:r>
              <w:rPr>
                <w:rStyle w:val="CharStyle11"/>
                <w:shd w:val="clear" w:color="auto" w:fill="000000"/>
              </w:rPr>
              <w:t>​</w:t>
            </w:r>
            <w:r>
              <w:rPr>
                <w:rStyle w:val="CharStyle11"/>
                <w:spacing w:val="2"/>
                <w:shd w:val="clear" w:color="auto" w:fill="000000"/>
              </w:rPr>
              <w:t>.............</w:t>
            </w:r>
            <w:r>
              <w:rPr>
                <w:rStyle w:val="CharStyle11"/>
                <w:spacing w:val="3"/>
                <w:shd w:val="clear" w:color="auto" w:fill="000000"/>
              </w:rPr>
              <w:t>....</w:t>
            </w:r>
            <w:r>
              <w:rPr>
                <w:rStyle w:val="CharStyle11"/>
                <w:shd w:val="clear" w:color="auto" w:fill="000000"/>
              </w:rPr>
              <w:t>.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11"/>
              </w:rPr>
              <w:t>t</w:t>
            </w:r>
            <w:r>
              <w:rPr>
                <w:rStyle w:val="CharStyle11"/>
                <w:spacing w:val="10"/>
                <w:shd w:val="clear" w:color="auto" w:fill="000000"/>
              </w:rPr>
              <w:t>..</w:t>
            </w:r>
            <w:r>
              <w:rPr>
                <w:rStyle w:val="CharStyle11"/>
                <w:spacing w:val="11"/>
                <w:shd w:val="clear" w:color="auto" w:fill="000000"/>
              </w:rPr>
              <w:t>..</w:t>
            </w:r>
            <w:r>
              <w:rPr>
                <w:rStyle w:val="CharStyle11"/>
                <w:shd w:val="clear" w:color="auto" w:fill="000000"/>
              </w:rPr>
              <w:t>​.......​</w:t>
            </w:r>
            <w:r>
              <w:rPr>
                <w:rStyle w:val="CharStyle11"/>
                <w:spacing w:val="3"/>
                <w:shd w:val="clear" w:color="auto" w:fill="000000"/>
              </w:rPr>
              <w:t>.....</w:t>
            </w:r>
            <w:r>
              <w:rPr>
                <w:rStyle w:val="CharStyle11"/>
                <w:spacing w:val="4"/>
                <w:shd w:val="clear" w:color="auto" w:fill="000000"/>
              </w:rPr>
              <w:t>......</w:t>
            </w:r>
            <w:r>
              <w:rPr>
                <w:rStyle w:val="CharStyle11"/>
              </w:rPr>
              <w:t xml:space="preserve"> 63477891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CZ63477891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Krajský soud v Brně, oddíl C, vložka 20603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Komerční banka 19-5156620217/0100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 xml:space="preserve">(dále jen </w:t>
      </w:r>
      <w:r>
        <w:rPr>
          <w:rStyle w:val="CharStyle17"/>
          <w:b/>
          <w:bCs/>
          <w:i/>
          <w:iCs/>
        </w:rPr>
        <w:t>„půjčíte?)</w:t>
      </w:r>
    </w:p>
    <w:p>
      <w:pPr>
        <w:widowControl w:val="0"/>
        <w:spacing w:after="111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120" w:line="290" w:lineRule="auto"/>
        <w:ind w:left="420" w:right="0" w:hanging="420"/>
        <w:jc w:val="left"/>
      </w:pPr>
      <w:r>
        <w:rPr>
          <w:rStyle w:val="CharStyle3"/>
        </w:rPr>
        <w:t xml:space="preserve">Půjčitel je oprávněn na základě svého vlastnického práva nakládat s těmito movitými věcmi: </w:t>
      </w:r>
      <w:r>
        <w:rPr>
          <w:rStyle w:val="CharStyle3"/>
          <w:b/>
          <w:bCs/>
        </w:rPr>
        <w:t xml:space="preserve">4 ks centrálních barevných multifuiikčních zařízení formátu A3, </w:t>
      </w:r>
      <w:r>
        <w:rPr>
          <w:rStyle w:val="CharStyle3"/>
        </w:rPr>
        <w:t>a to: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5" w:val="left"/>
        </w:tabs>
        <w:bidi w:val="0"/>
        <w:spacing w:before="0" w:after="0" w:line="290" w:lineRule="auto"/>
        <w:ind w:left="0" w:right="0" w:firstLine="340"/>
        <w:jc w:val="left"/>
      </w:pPr>
      <w:r>
        <w:rPr>
          <w:rStyle w:val="CharStyle3"/>
        </w:rPr>
        <w:t>1 ks Develop ineo+ 251 i, výrobní číslo bude uvedeno v předávacím protokolu při instalaci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90" w:lineRule="auto"/>
        <w:ind w:left="0" w:right="0" w:firstLine="700"/>
        <w:jc w:val="both"/>
      </w:pPr>
      <w:r>
        <w:rPr>
          <w:rStyle w:val="CharStyle3"/>
        </w:rPr>
        <w:t>v hodnotě 56.970,- Kč bez DPH, tj. 68.933,70 Kč vč. DPH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5" w:val="left"/>
        </w:tabs>
        <w:bidi w:val="0"/>
        <w:spacing w:before="0" w:after="0" w:line="290" w:lineRule="auto"/>
        <w:ind w:left="0" w:right="0" w:firstLine="340"/>
        <w:jc w:val="left"/>
      </w:pPr>
      <w:r>
        <w:rPr>
          <w:rStyle w:val="CharStyle3"/>
        </w:rPr>
        <w:t>1 ks Develop ineo+ 251 i, výrobní číslo bude uvedeno v předávacím protokolu při instalaci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90" w:lineRule="auto"/>
        <w:ind w:left="0" w:right="0" w:firstLine="700"/>
        <w:jc w:val="both"/>
      </w:pPr>
      <w:r>
        <w:rPr>
          <w:rStyle w:val="CharStyle3"/>
        </w:rPr>
        <w:t>v hodnotě 56.970 Kč.bez DPH, tj. 68.933,70 Kč vč. DPH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5" w:val="left"/>
        </w:tabs>
        <w:bidi w:val="0"/>
        <w:spacing w:before="0" w:after="0" w:line="290" w:lineRule="auto"/>
        <w:ind w:left="0" w:right="0" w:firstLine="340"/>
        <w:jc w:val="left"/>
      </w:pPr>
      <w:r>
        <w:rPr>
          <w:rStyle w:val="CharStyle3"/>
        </w:rPr>
        <w:t>1 ks Develop ineo+ 251 i, výrobní číslo bude uvedeno v předávacím protokolu při instalaci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90" w:lineRule="auto"/>
        <w:ind w:left="0" w:right="0" w:firstLine="700"/>
        <w:jc w:val="both"/>
      </w:pPr>
      <w:r>
        <w:rPr>
          <w:rStyle w:val="CharStyle3"/>
        </w:rPr>
        <w:t xml:space="preserve">v hodnotě 56.970,- Kč bez DPH, tj. 68.933,70 Kč vč. DPH </w:t>
      </w:r>
      <w:r>
        <w:rPr>
          <w:rStyle w:val="CharStyle3"/>
          <w:vertAlign w:val="superscript"/>
        </w:rPr>
        <w:t>1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5" w:val="left"/>
        </w:tabs>
        <w:bidi w:val="0"/>
        <w:spacing w:before="0" w:after="0" w:line="290" w:lineRule="auto"/>
        <w:ind w:left="0" w:right="0" w:firstLine="340"/>
        <w:jc w:val="left"/>
      </w:pPr>
      <w:r>
        <w:rPr>
          <w:rStyle w:val="CharStyle3"/>
        </w:rPr>
        <w:t>1 ks Develop ineo+251i, výrobní číslo bude uvedeno v předávacím protokolu při instalaci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90" w:lineRule="auto"/>
        <w:ind w:left="0" w:right="0" w:firstLine="700"/>
        <w:jc w:val="both"/>
      </w:pPr>
      <w:r>
        <w:rPr>
          <w:rStyle w:val="CharStyle3"/>
        </w:rPr>
        <w:t>v hodnotě 56.970,- Kč bez DPH, tj. 68.933,70 Kč vč.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90" w:lineRule="auto"/>
        <w:ind w:left="0" w:right="0" w:firstLine="340"/>
        <w:jc w:val="left"/>
      </w:pPr>
      <w:r>
        <w:rPr>
          <w:rStyle w:val="CharStyle3"/>
        </w:rPr>
        <w:t>Bližší specifikace movitých věcí je uvedena v příloze č. 1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120" w:line="290" w:lineRule="auto"/>
        <w:ind w:left="420" w:right="0" w:hanging="420"/>
        <w:jc w:val="left"/>
      </w:pPr>
      <w:r>
        <w:rPr>
          <w:rStyle w:val="CharStyle3"/>
        </w:rPr>
        <w:t>Půjčitel se zavazuje, že movité věci podle čl. 1 této smlouvy i s jejich příslušenstvím přenechá vypůjčiteli kjeho dočasnému výhradnímu užívání pro jeho účely. Příslušenstvím se přitom pro účely této smlouvy rozumí zejména návod k použití v českém jazyce a prohlášení o shodě.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>' Půjčitel provede na vlastní náklady instalaci v místě plnění, uvedení předmětu výpůjčky do provozu a zaškolení obsluhy (včetně seznámení s požadavky na pravidelnou běžnou údržbu) svým pověřeným pracovníkem, o čemž bude sepsán a potvrzen příslušný protokol. Půjčitel nese odpovědnost za řádné seznámení vypůjčitele s podmínkami užívání i za předání všech potřebných informací. Půjčitel se dále zavazuje udržovat předmět výpůjčky po dobu platnosti této smlouvy v provozuschopném stavu.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90" w:lineRule="auto"/>
        <w:ind w:left="420" w:right="0" w:hanging="420"/>
        <w:jc w:val="both"/>
      </w:pPr>
      <w:r>
        <w:rPr>
          <w:rStyle w:val="CharStyle3"/>
        </w:rPr>
        <w:t>Půjčitel se dále zavazuje bezplatně zajišťovat běžnou údržbu a opravy movitých věcí podle čl. 1 této smlouvy, s výjimkou průběžného doplňování spotřebované náplně toneru, kterou se půjčitel zavazuje zajišťovat pro vypůjčitele za úhradu podle čl. 8 této smlouvy. Součástí závazku půjčitele podle tohoto článku této smlouvy je také provádění všech předepsaných a obvyklých preventivních technických prohlídek a revizí, a to v obvyklém rozsahu a po celou dobu trvání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  <w:tab w:pos="8510" w:val="left"/>
        </w:tabs>
        <w:bidi w:val="0"/>
        <w:spacing w:before="0" w:line="295" w:lineRule="auto"/>
        <w:ind w:left="420" w:right="0" w:hanging="420"/>
        <w:jc w:val="both"/>
      </w:pPr>
      <w:r>
        <w:rPr>
          <w:rStyle w:val="CharStyle3"/>
        </w:rPr>
        <w:t>Vypůjčitel se zavazuje užívat movité věci podle čl. 1 této smlouvy výhradně k provozování svého zdravotnického zařízení, a k činnostem s tím spojeným-.</w:t>
        <w:tab/>
        <w:t>«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95" w:lineRule="auto"/>
        <w:ind w:left="420" w:right="0" w:hanging="420"/>
        <w:jc w:val="both"/>
      </w:pPr>
      <w:r>
        <w:rPr>
          <w:rStyle w:val="CharStyle3"/>
        </w:rPr>
        <w:t>Vypůjčitel se zavazuje nepřenechávat movité věci podle čl. 1 této smlouvy bez předchozího písemného souhlasu půjčitele k užívání jiným osobám.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  <w:tab w:pos="8304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>Výpůjčka movitých věcí podle čl. 1 této smlouvy se děje bezplatně.</w:t>
        <w:tab/>
      </w:r>
      <w:r>
        <w:rPr>
          <w:rStyle w:val="CharStyle3"/>
          <w:vertAlign w:val="superscript"/>
        </w:rPr>
        <w:t>v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60" w:line="300" w:lineRule="auto"/>
        <w:ind w:left="420" w:right="0" w:hanging="420"/>
        <w:jc w:val="both"/>
      </w:pPr>
      <w:r>
        <w:rPr>
          <w:rStyle w:val="CharStyle3"/>
        </w:rPr>
        <w:t>Za průběžné doplňování spotřebované náplně toneru se vypůjčitel zavazuje platit půjčiteli úhradu ve výši: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03" w:val="left"/>
        </w:tabs>
        <w:bidi w:val="0"/>
        <w:spacing w:before="0" w:after="60"/>
        <w:ind w:left="0" w:right="0" w:firstLine="720"/>
        <w:jc w:val="left"/>
      </w:pPr>
      <w:r>
        <w:rPr>
          <w:rStyle w:val="CharStyle3"/>
          <w:b/>
          <w:bCs/>
        </w:rPr>
        <w:t xml:space="preserve">0,27 </w:t>
      </w:r>
      <w:r>
        <w:rPr>
          <w:rStyle w:val="CharStyle3"/>
        </w:rPr>
        <w:t xml:space="preserve">Kč bez DPH, tj. </w:t>
      </w:r>
      <w:r>
        <w:rPr>
          <w:rStyle w:val="CharStyle3"/>
          <w:b/>
          <w:bCs/>
        </w:rPr>
        <w:t xml:space="preserve">0,33 </w:t>
      </w:r>
      <w:r>
        <w:rPr>
          <w:rStyle w:val="CharStyle3"/>
        </w:rPr>
        <w:t xml:space="preserve">Kč včetně DPH za jeden vykázaný </w:t>
      </w:r>
      <w:r>
        <w:rPr>
          <w:rStyle w:val="CharStyle3"/>
          <w:b/>
          <w:bCs/>
        </w:rPr>
        <w:t>černobílý výtisk,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03" w:val="left"/>
        </w:tabs>
        <w:bidi w:val="0"/>
        <w:spacing w:before="0" w:after="60"/>
        <w:ind w:left="0" w:right="0" w:firstLine="720"/>
        <w:jc w:val="left"/>
      </w:pPr>
      <w:r>
        <w:rPr>
          <w:rStyle w:val="CharStyle3"/>
          <w:b/>
          <w:bCs/>
        </w:rPr>
        <w:t xml:space="preserve">0,86 </w:t>
      </w:r>
      <w:r>
        <w:rPr>
          <w:rStyle w:val="CharStyle3"/>
        </w:rPr>
        <w:t xml:space="preserve">Kč bez DPH, tj. </w:t>
      </w:r>
      <w:r>
        <w:rPr>
          <w:rStyle w:val="CharStyle3"/>
          <w:b/>
          <w:bCs/>
        </w:rPr>
        <w:t xml:space="preserve">1,04 </w:t>
      </w:r>
      <w:r>
        <w:rPr>
          <w:rStyle w:val="CharStyle3"/>
        </w:rPr>
        <w:t xml:space="preserve">Kč včetně DPH za jeden vykázaný </w:t>
      </w:r>
      <w:r>
        <w:rPr>
          <w:rStyle w:val="CharStyle3"/>
          <w:b/>
          <w:bCs/>
        </w:rPr>
        <w:t>barevný výtisk.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90" w:lineRule="auto"/>
        <w:ind w:left="420" w:right="0" w:hanging="420"/>
        <w:jc w:val="both"/>
      </w:pPr>
      <w:r>
        <w:rPr>
          <w:rStyle w:val="CharStyle3"/>
        </w:rPr>
        <w:t xml:space="preserve">Úhrada podle čl. 9 této smlouvy je splatná vždy po skončení příslušného kalendářního měsíce za celý tento měsíc ve lhůtě do 30 dnů od předložení jejího písemného vyúčtování (faktury/daňového dokladu). Faktura bude doručena elektronicky na email: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..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..​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</w:t>
      </w:r>
      <w:r>
        <w:rPr>
          <w:rStyle w:val="CharStyle3"/>
          <w:u w:val="single"/>
          <w:lang w:val="en-US" w:eastAsia="en-US" w:bidi="en-US"/>
        </w:rPr>
        <w:t>z</w:t>
      </w:r>
      <w:r>
        <w:rPr>
          <w:rStyle w:val="CharStyle3"/>
          <w:lang w:val="en-US" w:eastAsia="en-US" w:bidi="en-US"/>
        </w:rPr>
        <w:t xml:space="preserve">. </w:t>
      </w:r>
      <w:r>
        <w:rPr>
          <w:rStyle w:val="CharStyle3"/>
        </w:rPr>
        <w:t xml:space="preserve">Na faktuře musí být mimo jiné vždy uvedeno toto číslo veřejné zakázky, ke které se faktura vztahuje: </w:t>
      </w:r>
      <w:r>
        <w:rPr>
          <w:rStyle w:val="CharStyle3"/>
          <w:b/>
          <w:bCs/>
        </w:rPr>
        <w:t xml:space="preserve">P25V00001230. </w:t>
      </w:r>
      <w:r>
        <w:rPr>
          <w:rStyle w:val="CharStyle3"/>
        </w:rPr>
        <w:t>Nebude-li faktura splňovat veškeré náležitosti daňového dokladu podle zákona a další náležitosti podle této smlouvy, je vypůjčitel oprávněn vrátit takovou fakturu půjčiteli k opravě, přičemž doba její splatnosti začne znovu celá běžet ode dne doručení opravené faktury vypůjčiteli.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95" w:lineRule="auto"/>
        <w:ind w:left="420" w:right="0" w:hanging="420"/>
        <w:jc w:val="both"/>
      </w:pPr>
      <w:r>
        <w:rPr>
          <w:rStyle w:val="CharStyle3"/>
        </w:rPr>
        <w:t>Vypůjčitel se zavazuje s movitými věcmi podle čl. 1 této smlouvy nakládat šetrně a přiměřeně jejímu účelu a chránit ji před poškozením, ztrátou, zneužitím nebo zničením.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95" w:lineRule="auto"/>
        <w:ind w:left="420" w:right="0" w:hanging="420"/>
        <w:jc w:val="both"/>
      </w:pPr>
      <w:r>
        <w:rPr>
          <w:rStyle w:val="CharStyle3"/>
        </w:rPr>
        <w:t>V případě nedodržení smluvní doby reakce a doby opravy je vypůjčitel oprávněn uplatnit vůči půjčiteli smluvní pokutu ve výši 500 Kč za každou i započatou hodinu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>V případě prodlení půjčitele s termínem plnění, tj. instalací a zprovozněním předmětu výpůjčky do 12. 5. 2025, má vypůjčitel právo požadovat smluvní pokutu, jejíž výše bude odpovídat výši 0,1 % z hodnoty předmětu výpůjčky za každý započatý den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>Vypůjčitel prohlašuje, že se seznámil s technickým stavem movitých věcí podle čl. 1 této smlouvy, a potvrzuje, že podmínky její výpůjčky, jak jsou obsaženy v této smlouvě, byly sjednány s přihlédnutím k tomuto stavu a ke všem případným rizikům z něho vyplývajícím a nemohou být pouze s poukazem na tento stav měněny.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60"/>
        <w:ind w:left="420" w:right="0" w:hanging="420"/>
        <w:jc w:val="both"/>
      </w:pPr>
      <w:r>
        <w:rPr>
          <w:rStyle w:val="CharStyle3"/>
        </w:rPr>
        <w:t>Není-li touto smlouvou ujednáno jinak, řídí se vzájemný právní vztah mezi půjčitelem a vypůjčitelem ust. § 2193 a násl. občanského zákoníku a obecnými ustanoveními občanského zákoníku o závazcích, včetně práv půjčitele, vyplývajících z odpovědnosti vypůjčitele za porušování jeho povinností podle citovaného zákona a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3600" w:right="0" w:firstLine="0"/>
        <w:jc w:val="left"/>
      </w:pPr>
      <w:r>
        <w:rPr>
          <w:rStyle w:val="CharStyle3"/>
        </w:rPr>
        <w:t>i 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>Tuto smlouvu lze změnit nebo zrušit pouze jinou písemnou dohodou obou smluvních stran. Tuto smlouvu lze také vypovědět písemnou výpovědí, a to i bez udání důvodu s tříměsíční výpovědní lhůtou, která počne běžet prvním dnem měsíce následujícího po doručení výpovědi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3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vypůjčitel.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90" w:lineRule="auto"/>
        <w:ind w:left="420" w:right="0" w:hanging="420"/>
        <w:jc w:val="both"/>
      </w:pPr>
      <w:r>
        <w:rPr>
          <w:rStyle w:val="CharStyle3"/>
        </w:rPr>
        <w:t>Tato smlouva nabývá účinnosti po jejím podpisu oběma smluvními stranami dnem jejího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/>
        <w:ind w:left="0" w:right="0" w:firstLine="0"/>
        <w:jc w:val="left"/>
      </w:pPr>
      <w:r>
        <w:rPr>
          <w:rStyle w:val="CharStyle3"/>
        </w:rPr>
        <w:t xml:space="preserve">Tato smlouva se uzavírá na dobu určitou, a to do </w:t>
      </w:r>
      <w:r>
        <w:rPr>
          <w:rStyle w:val="CharStyle3"/>
          <w:b/>
          <w:bCs/>
        </w:rPr>
        <w:t>30. 4. 2029.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95" w:lineRule="auto"/>
        <w:ind w:left="420" w:right="0" w:hanging="420"/>
        <w:jc w:val="left"/>
      </w:pPr>
      <w:r>
        <w:rPr>
          <w:rStyle w:val="CharStyle3"/>
        </w:rPr>
        <w:t>Po skončení platnosti této smlouvy je půjčitel oprávněn předmět výpůjčky okamžitě odebrat a vypůjčitel je povinen tento neprodleně vydat, pakliže se smluvní strany nedohodnou jinak.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/>
        <w:ind w:left="420" w:right="0" w:hanging="420"/>
        <w:jc w:val="left"/>
      </w:pPr>
      <w:r>
        <w:rPr>
          <w:rStyle w:val="CharStyle3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/>
        <w:ind w:left="0" w:right="0" w:firstLine="0"/>
        <w:jc w:val="left"/>
      </w:pPr>
      <w:r>
        <w:rPr>
          <w:rStyle w:val="CharStyle3"/>
        </w:rPr>
        <w:t>Nedílnou součástí této smlouvy jsou tyto přílohy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  <w:jc w:val="left"/>
      </w:pPr>
      <w:r>
        <w:rPr>
          <w:rStyle w:val="CharStyle3"/>
        </w:rPr>
        <w:t>Příloha č. 1 Technická specifikace</w:t>
      </w:r>
    </w:p>
    <w:p>
      <w:pPr>
        <w:widowControl w:val="0"/>
        <w:spacing w:line="1" w:lineRule="exact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665" w:right="1030" w:bottom="1513" w:left="1395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444500" distB="0" distL="0" distR="0" simplePos="0" relativeHeight="125829378" behindDoc="0" locked="0" layoutInCell="1" allowOverlap="1">
                <wp:simplePos x="0" y="0"/>
                <wp:positionH relativeFrom="page">
                  <wp:posOffset>946785</wp:posOffset>
                </wp:positionH>
                <wp:positionV relativeFrom="paragraph">
                  <wp:posOffset>444500</wp:posOffset>
                </wp:positionV>
                <wp:extent cx="1700530" cy="17970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053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61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4.549999999999997pt;margin-top:35.pt;width:133.90000000000001pt;height:14.15pt;z-index:-125829375;mso-wrap-distance-left:0;mso-wrap-distance-top:3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1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74980" distB="0" distL="0" distR="0" simplePos="0" relativeHeight="125829380" behindDoc="0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474980</wp:posOffset>
                </wp:positionV>
                <wp:extent cx="1264920" cy="1492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492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 28.4.2025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1.60000000000002pt;margin-top:37.399999999999999pt;width:99.600000000000009pt;height:11.75pt;z-index:-125829373;mso-wrap-distance-left:0;mso-wrap-distance-top:37.3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 28.4.2025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80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83" w:right="0" w:bottom="1835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1937385</wp:posOffset>
                </wp:positionH>
                <wp:positionV relativeFrom="paragraph">
                  <wp:posOffset>12700</wp:posOffset>
                </wp:positionV>
                <wp:extent cx="1627505" cy="4267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7505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w w:val="70"/>
                                <w:sz w:val="20"/>
                                <w:szCs w:val="20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1"/>
                                <w:w w:val="70"/>
                                <w:sz w:val="20"/>
                                <w:szCs w:val="20"/>
                                <w:shd w:val="clear" w:color="auto" w:fill="000000"/>
                              </w:rPr>
                              <w:t>................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w w:val="70"/>
                                <w:sz w:val="20"/>
                                <w:szCs w:val="20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1"/>
                                <w:w w:val="70"/>
                                <w:sz w:val="20"/>
                                <w:szCs w:val="20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2"/>
                                <w:w w:val="70"/>
                                <w:sz w:val="20"/>
                                <w:szCs w:val="20"/>
                                <w:shd w:val="clear" w:color="auto" w:fill="000000"/>
                              </w:rPr>
                              <w:t>.............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w w:val="70"/>
                                <w:sz w:val="20"/>
                                <w:szCs w:val="20"/>
                                <w:shd w:val="clear" w:color="auto" w:fill="000000"/>
                              </w:rPr>
                              <w:t>​.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1"/>
                                <w:w w:val="70"/>
                                <w:sz w:val="20"/>
                                <w:szCs w:val="20"/>
                                <w:shd w:val="clear" w:color="auto" w:fill="000000"/>
                              </w:rPr>
                              <w:t>........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  <w:sz w:val="18"/>
                                <w:szCs w:val="18"/>
                                <w:shd w:val="clear" w:color="auto" w:fill="000000"/>
                              </w:rPr>
                              <w:t>..................</w:t>
                            </w:r>
                            <w:r>
                              <w:rPr>
                                <w:rStyle w:val="CharStyle3"/>
                                <w:spacing w:val="1"/>
                                <w:sz w:val="18"/>
                                <w:szCs w:val="18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3"/>
                                <w:sz w:val="18"/>
                                <w:szCs w:val="18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spacing w:val="4"/>
                                <w:sz w:val="18"/>
                                <w:szCs w:val="18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3"/>
                                <w:spacing w:val="5"/>
                                <w:sz w:val="18"/>
                                <w:szCs w:val="18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3"/>
                                <w:color w:val="56AFE5"/>
                                <w:sz w:val="18"/>
                                <w:szCs w:val="18"/>
                              </w:rPr>
                              <w:t>p.o.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  <w:sz w:val="18"/>
                                <w:szCs w:val="18"/>
                                <w:shd w:val="clear" w:color="auto" w:fill="000000"/>
                              </w:rPr>
                              <w:t>.................​</w:t>
                            </w:r>
                            <w:r>
                              <w:rPr>
                                <w:rStyle w:val="CharStyle3"/>
                                <w:spacing w:val="3"/>
                                <w:sz w:val="18"/>
                                <w:szCs w:val="18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3"/>
                                <w:spacing w:val="4"/>
                                <w:sz w:val="18"/>
                                <w:szCs w:val="18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"/>
                                <w:sz w:val="18"/>
                                <w:szCs w:val="18"/>
                                <w:shd w:val="clear" w:color="auto" w:fill="000000"/>
                              </w:rPr>
                              <w:t>​...​.....​</w:t>
                            </w:r>
                            <w:r>
                              <w:rPr>
                                <w:rStyle w:val="CharStyle3"/>
                                <w:spacing w:val="10"/>
                                <w:sz w:val="18"/>
                                <w:szCs w:val="18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"/>
                                <w:color w:val="56AFE5"/>
                                <w:sz w:val="18"/>
                                <w:szCs w:val="18"/>
                              </w:rPr>
                              <w:t>rno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52.55000000000001pt;margin-top:1.pt;width:128.15000000000001pt;height:33.6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w w:val="70"/>
                          <w:sz w:val="20"/>
                          <w:szCs w:val="20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3"/>
                          <w:b/>
                          <w:bCs/>
                          <w:spacing w:val="1"/>
                          <w:w w:val="70"/>
                          <w:sz w:val="20"/>
                          <w:szCs w:val="20"/>
                          <w:shd w:val="clear" w:color="auto" w:fill="000000"/>
                        </w:rPr>
                        <w:t>................</w:t>
                      </w:r>
                      <w:r>
                        <w:rPr>
                          <w:rStyle w:val="CharStyle3"/>
                          <w:b/>
                          <w:bCs/>
                          <w:w w:val="70"/>
                          <w:sz w:val="20"/>
                          <w:szCs w:val="20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b/>
                          <w:bCs/>
                          <w:spacing w:val="1"/>
                          <w:w w:val="70"/>
                          <w:sz w:val="20"/>
                          <w:szCs w:val="20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3"/>
                          <w:b/>
                          <w:bCs/>
                          <w:spacing w:val="2"/>
                          <w:w w:val="70"/>
                          <w:sz w:val="20"/>
                          <w:szCs w:val="20"/>
                          <w:shd w:val="clear" w:color="auto" w:fill="000000"/>
                        </w:rPr>
                        <w:t>.............</w:t>
                      </w:r>
                      <w:r>
                        <w:rPr>
                          <w:rStyle w:val="CharStyle3"/>
                          <w:b/>
                          <w:bCs/>
                          <w:w w:val="70"/>
                          <w:sz w:val="20"/>
                          <w:szCs w:val="20"/>
                          <w:shd w:val="clear" w:color="auto" w:fill="000000"/>
                        </w:rPr>
                        <w:t>​.</w:t>
                      </w:r>
                      <w:r>
                        <w:rPr>
                          <w:rStyle w:val="CharStyle3"/>
                          <w:b/>
                          <w:bCs/>
                          <w:spacing w:val="1"/>
                          <w:w w:val="70"/>
                          <w:sz w:val="20"/>
                          <w:szCs w:val="20"/>
                          <w:shd w:val="clear" w:color="auto" w:fill="000000"/>
                        </w:rPr>
                        <w:t>........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sz w:val="18"/>
                          <w:szCs w:val="18"/>
                          <w:shd w:val="clear" w:color="auto" w:fill="000000"/>
                        </w:rPr>
                        <w:t>..................</w:t>
                      </w:r>
                      <w:r>
                        <w:rPr>
                          <w:rStyle w:val="CharStyle3"/>
                          <w:spacing w:val="1"/>
                          <w:sz w:val="18"/>
                          <w:szCs w:val="18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3"/>
                          <w:sz w:val="18"/>
                          <w:szCs w:val="18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4"/>
                          <w:sz w:val="18"/>
                          <w:szCs w:val="18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3"/>
                          <w:spacing w:val="5"/>
                          <w:sz w:val="18"/>
                          <w:szCs w:val="18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3"/>
                          <w:color w:val="56AFE5"/>
                          <w:sz w:val="18"/>
                          <w:szCs w:val="18"/>
                        </w:rPr>
                        <w:t>p.o.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sz w:val="18"/>
                          <w:szCs w:val="18"/>
                          <w:shd w:val="clear" w:color="auto" w:fill="000000"/>
                        </w:rPr>
                        <w:t>.................​</w:t>
                      </w:r>
                      <w:r>
                        <w:rPr>
                          <w:rStyle w:val="CharStyle3"/>
                          <w:spacing w:val="3"/>
                          <w:sz w:val="18"/>
                          <w:szCs w:val="18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3"/>
                          <w:spacing w:val="4"/>
                          <w:sz w:val="18"/>
                          <w:szCs w:val="18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"/>
                          <w:sz w:val="18"/>
                          <w:szCs w:val="18"/>
                          <w:shd w:val="clear" w:color="auto" w:fill="000000"/>
                        </w:rPr>
                        <w:t>​...​.....​</w:t>
                      </w:r>
                      <w:r>
                        <w:rPr>
                          <w:rStyle w:val="CharStyle3"/>
                          <w:spacing w:val="10"/>
                          <w:sz w:val="18"/>
                          <w:szCs w:val="18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"/>
                          <w:color w:val="56AFE5"/>
                          <w:sz w:val="18"/>
                          <w:szCs w:val="18"/>
                        </w:rPr>
                        <w:t>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1882775</wp:posOffset>
            </wp:positionH>
            <wp:positionV relativeFrom="paragraph">
              <wp:posOffset>280670</wp:posOffset>
            </wp:positionV>
            <wp:extent cx="1237615" cy="591185"/>
            <wp:wrapTight wrapText="left">
              <wp:wrapPolygon>
                <wp:start x="19253" y="0"/>
                <wp:lineTo x="21600" y="0"/>
                <wp:lineTo x="21600" y="21600"/>
                <wp:lineTo x="17547" y="21600"/>
                <wp:lineTo x="17547" y="16564"/>
                <wp:lineTo x="0" y="16564"/>
                <wp:lineTo x="0" y="5596"/>
                <wp:lineTo x="19253" y="5596"/>
                <wp:lineTo x="19253" y="0"/>
              </wp:wrapPolygon>
            </wp:wrapTight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237615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4171315</wp:posOffset>
                </wp:positionH>
                <wp:positionV relativeFrom="paragraph">
                  <wp:posOffset>816610</wp:posOffset>
                </wp:positionV>
                <wp:extent cx="1268095" cy="514985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8095" cy="514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Mgr. Helena Hartlová jednatelka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Půjčitel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28.44999999999999pt;margin-top:64.299999999999997pt;width:99.850000000000009pt;height:40.550000000000004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Mgr. Helena Hartlová jednatelka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Půjčitel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83" w:right="1439" w:bottom="1835" w:left="1403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 xml:space="preserve">MUDr. Hana Albrechtová ředitelka </w:t>
      </w:r>
      <w:r>
        <w:rPr>
          <w:rStyle w:val="CharStyle3"/>
          <w:b/>
          <w:bCs/>
          <w:i/>
          <w:iCs/>
        </w:rPr>
        <w:t>Vypůjčitel</w:t>
      </w:r>
    </w:p>
    <w:p>
      <w:pPr>
        <w:pStyle w:val="Style4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r>
        <w:rPr>
          <w:rStyle w:val="CharStyle49"/>
          <w:b/>
          <w:bCs/>
        </w:rPr>
        <w:t>Příloha č. 1 Technická specifikace</w:t>
      </w:r>
      <w:bookmarkEnd w:id="4"/>
    </w:p>
    <w:tbl>
      <w:tblPr>
        <w:tblOverlap w:val="never"/>
        <w:jc w:val="center"/>
        <w:tblLayout w:type="fixed"/>
      </w:tblPr>
      <w:tblGrid>
        <w:gridCol w:w="2837"/>
        <w:gridCol w:w="6221"/>
      </w:tblGrid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sz w:val="18"/>
                <w:szCs w:val="18"/>
              </w:rPr>
              <w:t>Ndzev parametru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b/>
                <w:bCs/>
                <w:sz w:val="18"/>
                <w:szCs w:val="18"/>
              </w:rPr>
              <w:t>Požadovaný parametr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Typ zařízení: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Multifunkční barevné zařízení A3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Nové (nikoliv demo či nepasovaná technologie)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Dostupné hlavní funkce: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Tisk, kopírování, skenování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Podavač papíru: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Duplex, automatický oboustranný podavač, boční podavač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Zásobník papíru: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Zvlášť zásobníky papíru na formát A4 a A3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Formát tisku: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Min. A4-A3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Rozlišení kopírování, skenování: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Min. 600 x 600 dpi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Rozlišení tisku: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Min. 1200x1200 dpi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Síťový tisk: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11"/>
              </w:rPr>
              <w:t>Ethernet, TCP/IP (IPv4/ IPv6), NetBEUI, Ethernet 802.2, Ethernet 802.3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Měřítko při kopírování: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Min. 25 - 400% v krocích min. 1 %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Režimy skenování: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Síťový TWAIN, do e-mailu, na FTP, na USB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Souborové formáty: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Min. JPEG, TIFF, PDF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Účtování: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Dle uživatelských účtů s podporou Active Directory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Přístup: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11"/>
              </w:rPr>
              <w:t>Na dvou strojích s ověřováním bezkontaktní kartou Mifare (čtečky karet vlastníme)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Instalace: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11"/>
              </w:rPr>
              <w:t>ANO, zajištění funkčnosti od 12. 5. 2025. Místo instalace: Brno. Kamenice 798/1 d.</w:t>
            </w:r>
          </w:p>
        </w:tc>
      </w:tr>
      <w:tr>
        <w:trPr>
          <w:trHeight w:val="585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Servis: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548" w:val="left"/>
              </w:tabs>
              <w:bidi w:val="0"/>
              <w:spacing w:before="0" w:after="220" w:line="254" w:lineRule="auto"/>
              <w:ind w:left="0" w:right="0" w:firstLine="260"/>
              <w:jc w:val="both"/>
            </w:pPr>
            <w:r>
              <w:rPr>
                <w:rStyle w:val="CharStyle11"/>
              </w:rPr>
              <w:t>Update SW</w:t>
            </w:r>
          </w:p>
          <w:p>
            <w:pPr>
              <w:pStyle w:val="Style10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548" w:val="left"/>
              </w:tabs>
              <w:bidi w:val="0"/>
              <w:spacing w:before="0" w:after="220" w:line="252" w:lineRule="auto"/>
              <w:ind w:left="540" w:right="0" w:hanging="280"/>
              <w:jc w:val="both"/>
            </w:pPr>
            <w:r>
              <w:rPr>
                <w:rStyle w:val="CharStyle11"/>
              </w:rPr>
              <w:t>Poskytování trvalé hot-line podpory, dostupné v pracovní dny od 6:00 - 22:00 v českém jazyce</w:t>
            </w:r>
          </w:p>
          <w:p>
            <w:pPr>
              <w:pStyle w:val="Style10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548" w:val="left"/>
              </w:tabs>
              <w:bidi w:val="0"/>
              <w:spacing w:before="0" w:after="220" w:line="254" w:lineRule="auto"/>
              <w:ind w:left="540" w:right="0" w:hanging="280"/>
              <w:jc w:val="both"/>
            </w:pPr>
            <w:r>
              <w:rPr>
                <w:rStyle w:val="CharStyle11"/>
                <w:b/>
                <w:bCs/>
              </w:rPr>
              <w:t xml:space="preserve">Vzdálený monitoring zařízení </w:t>
            </w:r>
            <w:r>
              <w:rPr>
                <w:rStyle w:val="CharStyle11"/>
              </w:rPr>
              <w:t>(vzdálená správa a evidence tisku, tj. schopnost diagnostikovat provoz, poruchy, potřebné výměny náplní apod. bez nutnosti iniciativy ze strany vypůjčitele)</w:t>
            </w:r>
          </w:p>
          <w:p>
            <w:pPr>
              <w:pStyle w:val="Style10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548" w:val="left"/>
              </w:tabs>
              <w:bidi w:val="0"/>
              <w:spacing w:before="0" w:after="220" w:line="252" w:lineRule="auto"/>
              <w:ind w:left="540" w:right="0" w:hanging="280"/>
              <w:jc w:val="both"/>
            </w:pPr>
            <w:r>
              <w:rPr>
                <w:rStyle w:val="CharStyle11"/>
                <w:b/>
                <w:bCs/>
              </w:rPr>
              <w:t xml:space="preserve">Doba reakce </w:t>
            </w:r>
            <w:r>
              <w:rPr>
                <w:rStyle w:val="CharStyle11"/>
              </w:rPr>
              <w:t xml:space="preserve">(tj maximální doba, která uplyne od nahlášení na níže uvedené kontaktní údaje a okamžikem zahájení jeho řešení půjčitelem): </w:t>
            </w:r>
            <w:r>
              <w:rPr>
                <w:rStyle w:val="CharStyle11"/>
                <w:b/>
                <w:bCs/>
              </w:rPr>
              <w:t>do 2 hod. od nahlášení.</w:t>
            </w:r>
          </w:p>
          <w:p>
            <w:pPr>
              <w:pStyle w:val="Style10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548" w:val="left"/>
              </w:tabs>
              <w:bidi w:val="0"/>
              <w:spacing w:before="0" w:after="0" w:line="257" w:lineRule="auto"/>
              <w:ind w:left="540" w:right="0" w:hanging="280"/>
              <w:jc w:val="both"/>
            </w:pPr>
            <w:r>
              <w:rPr>
                <w:rStyle w:val="CharStyle11"/>
                <w:b/>
                <w:bCs/>
              </w:rPr>
              <w:t xml:space="preserve">Doba opravy do 24 hodin od nahlášení, </w:t>
            </w:r>
            <w:r>
              <w:rPr>
                <w:rStyle w:val="CharStyle11"/>
              </w:rPr>
              <w:t>nedomluví-li se smluvní strany v každém jednotlivém případě jinak.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57" w:lineRule="auto"/>
              <w:ind w:left="440" w:right="0" w:firstLine="100"/>
              <w:jc w:val="both"/>
            </w:pPr>
            <w:r>
              <w:rPr>
                <w:rStyle w:val="CharStyle11"/>
                <w:b/>
                <w:bCs/>
                <w:u w:val="single"/>
              </w:rPr>
              <w:t>Doba opravy:</w:t>
            </w:r>
            <w:r>
              <w:rPr>
                <w:rStyle w:val="CharStyle11"/>
                <w:b/>
                <w:bCs/>
              </w:rPr>
              <w:t xml:space="preserve"> </w:t>
            </w:r>
            <w:r>
              <w:rPr>
                <w:rStyle w:val="CharStyle11"/>
              </w:rPr>
              <w:t>Maximální doba, která uplyne od okamžiku nahlášení incidentu vypůjčitelem do okamžiku nastavení . požadovaného stavu řešitelem a oznámení ukončení řešení půjčitelem vypůjčiteli. Oprava může být vyřešena v rámci doby opravy rovněž poskytnutím náhradního zařízení s obdobnými parametry.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54" w:lineRule="auto"/>
              <w:ind w:left="0" w:right="0" w:firstLine="0"/>
              <w:jc w:val="both"/>
            </w:pPr>
            <w:r>
              <w:rPr>
                <w:rStyle w:val="CharStyle11"/>
              </w:rPr>
              <w:t>Pozn. Nahlášením se rozumí e-mailová nebo telefonická výzva.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326" w:lineRule="auto"/>
        <w:ind w:left="0" w:right="0" w:firstLine="0"/>
        <w:jc w:val="left"/>
      </w:pPr>
      <w:r>
        <w:rPr>
          <w:rStyle w:val="CharStyle3"/>
          <w:b/>
          <w:bCs/>
          <w:u w:val="single"/>
        </w:rPr>
        <w:t>Kontaktní údaje pro přijímání servisního hlášení: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36" w:val="left"/>
        </w:tabs>
        <w:bidi w:val="0"/>
        <w:spacing w:before="0" w:after="0" w:line="326" w:lineRule="auto"/>
        <w:ind w:left="0" w:right="0" w:firstLine="0"/>
        <w:jc w:val="left"/>
      </w:pPr>
      <w:r>
        <w:rPr>
          <w:rStyle w:val="CharStyle3"/>
          <w:spacing w:val="2"/>
          <w:shd w:val="clear" w:color="auto" w:fill="000000"/>
        </w:rPr>
        <w:t>..............</w:t>
      </w:r>
      <w:r>
        <w:rPr>
          <w:rStyle w:val="CharStyle3"/>
          <w:spacing w:val="3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1"/>
          <w:shd w:val="clear" w:color="auto" w:fill="000000"/>
        </w:rPr>
        <w:t>............</w:t>
      </w:r>
      <w:r>
        <w:rPr>
          <w:rStyle w:val="CharStyle3"/>
          <w:spacing w:val="2"/>
          <w:shd w:val="clear" w:color="auto" w:fill="000000"/>
        </w:rPr>
        <w:t>.........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7"/>
          <w:shd w:val="clear" w:color="auto" w:fill="000000"/>
        </w:rPr>
        <w:t>......</w:t>
      </w:r>
      <w:r>
        <w:rPr>
          <w:rStyle w:val="CharStyle3"/>
          <w:shd w:val="clear" w:color="auto" w:fill="000000"/>
        </w:rPr>
        <w:t>​..</w:t>
      </w:r>
      <w:r>
        <w:rPr>
          <w:rStyle w:val="CharStyle3"/>
          <w:spacing w:val="1"/>
          <w:shd w:val="clear" w:color="auto" w:fill="000000"/>
        </w:rPr>
        <w:t>.........</w:t>
      </w:r>
      <w:r>
        <w:rPr>
          <w:rStyle w:val="CharStyle3"/>
        </w:rPr>
        <w:t xml:space="preserve"> 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8"/>
          <w:shd w:val="clear" w:color="auto" w:fill="000000"/>
        </w:rPr>
        <w:t>...</w:t>
      </w:r>
      <w:r>
        <w:rPr>
          <w:rStyle w:val="CharStyle3"/>
          <w:spacing w:val="9"/>
          <w:shd w:val="clear" w:color="auto" w:fill="000000"/>
        </w:rPr>
        <w:t>..</w:t>
      </w:r>
      <w:r>
        <w:rPr>
          <w:rStyle w:val="CharStyle3"/>
          <w:shd w:val="clear" w:color="auto" w:fill="000000"/>
        </w:rPr>
        <w:t>...............................</w:t>
      </w:r>
      <w:r>
        <w:rPr>
          <w:rStyle w:val="CharStyle3"/>
          <w:spacing w:val="1"/>
          <w:shd w:val="clear" w:color="auto" w:fill="000000"/>
        </w:rPr>
        <w:t>...</w:t>
      </w:r>
      <w:r>
        <w:rPr>
          <w:rStyle w:val="CharStyle3"/>
          <w:spacing w:val="2"/>
          <w:shd w:val="clear" w:color="auto" w:fill="000000"/>
        </w:rPr>
        <w:t>.</w:t>
      </w:r>
      <w:r>
        <w:rPr>
          <w:rStyle w:val="CharStyle3"/>
          <w:spacing w:val="3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.......​.......​.......​......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36" w:val="left"/>
        </w:tabs>
        <w:bidi w:val="0"/>
        <w:spacing w:before="0" w:after="0" w:line="326" w:lineRule="auto"/>
        <w:ind w:left="0" w:right="0" w:firstLine="0"/>
        <w:jc w:val="left"/>
      </w:pPr>
      <w:r>
        <w:rPr>
          <w:rStyle w:val="CharStyle3"/>
          <w:spacing w:val="3"/>
          <w:shd w:val="clear" w:color="auto" w:fill="000000"/>
        </w:rPr>
        <w:t>..</w:t>
      </w:r>
      <w:r>
        <w:rPr>
          <w:rStyle w:val="CharStyle3"/>
          <w:spacing w:val="4"/>
          <w:shd w:val="clear" w:color="auto" w:fill="000000"/>
        </w:rPr>
        <w:t>.</w:t>
      </w:r>
      <w:r>
        <w:rPr>
          <w:rStyle w:val="CharStyle3"/>
          <w:shd w:val="clear" w:color="auto" w:fill="000000"/>
        </w:rPr>
        <w:t>​</w:t>
      </w:r>
      <w:r>
        <w:rPr>
          <w:rStyle w:val="CharStyle3"/>
          <w:spacing w:val="4"/>
          <w:shd w:val="clear" w:color="auto" w:fill="000000"/>
        </w:rPr>
        <w:t>.....</w:t>
      </w:r>
      <w:r>
        <w:rPr>
          <w:rStyle w:val="CharStyle3"/>
          <w:spacing w:val="5"/>
          <w:shd w:val="clear" w:color="auto" w:fill="000000"/>
        </w:rPr>
        <w:t>..</w:t>
      </w:r>
      <w:r>
        <w:rPr>
          <w:rStyle w:val="CharStyle3"/>
          <w:shd w:val="clear" w:color="auto" w:fill="000000"/>
        </w:rPr>
        <w:t>..............................</w:t>
      </w:r>
      <w:r>
        <w:rPr>
          <w:rStyle w:val="CharStyle3"/>
          <w:spacing w:val="1"/>
          <w:shd w:val="clear" w:color="auto" w:fill="000000"/>
          <w:lang w:val="en-US" w:eastAsia="en-US" w:bidi="en-US"/>
        </w:rPr>
        <w:t>...........</w:t>
      </w:r>
      <w:r>
        <w:rPr>
          <w:rStyle w:val="CharStyle3"/>
          <w:spacing w:val="2"/>
          <w:shd w:val="clear" w:color="auto" w:fill="000000"/>
          <w:lang w:val="en-US" w:eastAsia="en-US" w:bidi="en-US"/>
        </w:rPr>
        <w:t>...............</w:t>
      </w:r>
      <w:r>
        <w:rPr>
          <w:rStyle w:val="CharStyle3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2"/>
          <w:shd w:val="clear" w:color="auto" w:fill="000000"/>
          <w:lang w:val="en-US" w:eastAsia="en-US" w:bidi="en-US"/>
        </w:rPr>
        <w:t>.............</w:t>
      </w:r>
      <w:r>
        <w:rPr>
          <w:rStyle w:val="CharStyle3"/>
          <w:spacing w:val="3"/>
          <w:shd w:val="clear" w:color="auto" w:fill="000000"/>
          <w:lang w:val="en-US" w:eastAsia="en-US" w:bidi="en-US"/>
        </w:rPr>
        <w:t>....</w:t>
      </w:r>
    </w:p>
    <w:sectPr>
      <w:footerReference w:type="default" r:id="rId10"/>
      <w:footerReference w:type="even" r:id="rId11"/>
      <w:footnotePr>
        <w:pos w:val="pageBottom"/>
        <w:numFmt w:val="decimal"/>
        <w:numRestart w:val="continuous"/>
      </w:footnotePr>
      <w:pgSz w:w="11900" w:h="16840"/>
      <w:pgMar w:top="1283" w:right="1439" w:bottom="1835" w:left="140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940435</wp:posOffset>
              </wp:positionH>
              <wp:positionV relativeFrom="page">
                <wp:posOffset>10220960</wp:posOffset>
              </wp:positionV>
              <wp:extent cx="2675890" cy="1250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589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Veřejná zakázka 12-25: Centrální tiskové řešení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.049999999999997pt;margin-top:804.80000000000007pt;width:210.70000000000002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20"/>
                        <w:szCs w:val="20"/>
                      </w:rPr>
                      <w:t>Veřejná zakázka 12-25: Centrální tiskové řešení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940435</wp:posOffset>
              </wp:positionH>
              <wp:positionV relativeFrom="page">
                <wp:posOffset>10220960</wp:posOffset>
              </wp:positionV>
              <wp:extent cx="2675890" cy="1250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589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Veřejná zakázka 12-25: Centrální tiskové řešení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4.049999999999997pt;margin-top:804.80000000000007pt;width:210.70000000000002pt;height:9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20"/>
                        <w:szCs w:val="20"/>
                      </w:rPr>
                      <w:t>Veřejná zakázka 12-25: Centrální tiskové řešení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907415</wp:posOffset>
              </wp:positionH>
              <wp:positionV relativeFrom="page">
                <wp:posOffset>10364470</wp:posOffset>
              </wp:positionV>
              <wp:extent cx="3398520" cy="12509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9852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Veřejná zakázka 12-25: Centrální tiskové řešení 2025</w:t>
                          </w:r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- 2029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1.450000000000003pt;margin-top:816.10000000000002pt;width:267.60000000000002pt;height:9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20"/>
                        <w:szCs w:val="20"/>
                      </w:rPr>
                      <w:t>Veřejná zakázka 12-25: Centrální tiskové řešení 2025</w:t>
                    </w:r>
                    <w:r>
                      <w:rPr>
                        <w:rStyle w:val="CharStyle7"/>
                        <w:rFonts w:ascii="Arial" w:eastAsia="Arial" w:hAnsi="Arial" w:cs="Arial"/>
                        <w:sz w:val="19"/>
                        <w:szCs w:val="19"/>
                      </w:rPr>
                      <w:t xml:space="preserve"> - 2029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940435</wp:posOffset>
              </wp:positionH>
              <wp:positionV relativeFrom="page">
                <wp:posOffset>10220960</wp:posOffset>
              </wp:positionV>
              <wp:extent cx="2675890" cy="12509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7589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Veřejná zakázka 12-25: Centrální tiskové řešení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4.049999999999997pt;margin-top:804.80000000000007pt;width:210.70000000000002pt;height:9.8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20"/>
                        <w:szCs w:val="20"/>
                      </w:rPr>
                      <w:t>Veřejná zakázka 12-25: Centrální tiskové řešení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927735</wp:posOffset>
              </wp:positionH>
              <wp:positionV relativeFrom="page">
                <wp:posOffset>10065385</wp:posOffset>
              </wp:positionV>
              <wp:extent cx="3380105" cy="13081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8010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Veřejná zakázka 12-25: Centrální tiskové řešení 2025 - 2029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73.049999999999997pt;margin-top:792.55000000000007pt;width:266.14999999999998pt;height:10.3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20"/>
                        <w:szCs w:val="20"/>
                      </w:rPr>
                      <w:t>Veřejná zakázka 12-25: Centrální tiskové řešení 2025 - 2029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Nadpis #3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49">
    <w:name w:val="Nadpis #2_"/>
    <w:basedOn w:val="DefaultParagraphFont"/>
    <w:link w:val="Style4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80" w:line="29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120"/>
      <w:ind w:right="24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auto"/>
      <w:spacing w:after="180" w:line="29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Nadpis #3"/>
    <w:basedOn w:val="Normal"/>
    <w:link w:val="CharStyle15"/>
    <w:pPr>
      <w:widowControl w:val="0"/>
      <w:shd w:val="clear" w:color="auto" w:fill="auto"/>
      <w:spacing w:after="320"/>
      <w:ind w:left="2080" w:hanging="136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48">
    <w:name w:val="Nadpis #2"/>
    <w:basedOn w:val="Normal"/>
    <w:link w:val="CharStyle49"/>
    <w:pPr>
      <w:widowControl w:val="0"/>
      <w:shd w:val="clear" w:color="auto" w:fill="auto"/>
      <w:spacing w:after="2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png"/><Relationship Id="rId9" Type="http://schemas.openxmlformats.org/officeDocument/2006/relationships/image" Target="media/image1.png" TargetMode="External"/><Relationship Id="rId10" Type="http://schemas.openxmlformats.org/officeDocument/2006/relationships/footer" Target="footer4.xml"/><Relationship Id="rId11" Type="http://schemas.openxmlformats.org/officeDocument/2006/relationships/footer" Target="footer5.xml"/></Relationships>
</file>