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7ED4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</w:p>
    <w:p w14:paraId="3FE153EC" w14:textId="77777777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425D5475" w14:textId="77777777" w:rsidR="00A554A3" w:rsidRPr="00DC542A" w:rsidRDefault="00A554A3"/>
    <w:p w14:paraId="117DF089" w14:textId="77777777" w:rsidR="00FB5329" w:rsidRPr="00DC542A" w:rsidRDefault="00FB5329">
      <w:r w:rsidRPr="00DC542A">
        <w:t>Smluvní strany:</w:t>
      </w:r>
    </w:p>
    <w:p w14:paraId="27817E0E" w14:textId="77777777" w:rsidR="00FB5329" w:rsidRPr="00DC542A" w:rsidRDefault="00FB5329"/>
    <w:p w14:paraId="2DCDA119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837" w:type="dxa"/>
        <w:tblInd w:w="4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2"/>
        <w:gridCol w:w="2945"/>
        <w:gridCol w:w="72"/>
        <w:gridCol w:w="5676"/>
        <w:gridCol w:w="72"/>
      </w:tblGrid>
      <w:tr w:rsidR="00FB5329" w:rsidRPr="00DC542A" w14:paraId="62365FBF" w14:textId="77777777" w:rsidTr="00611BE3">
        <w:trPr>
          <w:gridAfter w:val="1"/>
          <w:wAfter w:w="72" w:type="dxa"/>
        </w:trPr>
        <w:tc>
          <w:tcPr>
            <w:tcW w:w="3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16E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2EB9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5684F646" w14:textId="77777777" w:rsidTr="00611BE3">
        <w:trPr>
          <w:gridAfter w:val="1"/>
          <w:wAfter w:w="72" w:type="dxa"/>
        </w:trPr>
        <w:tc>
          <w:tcPr>
            <w:tcW w:w="3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1BD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182B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0F455939" w14:textId="77777777" w:rsidTr="00611BE3">
        <w:trPr>
          <w:gridAfter w:val="1"/>
          <w:wAfter w:w="72" w:type="dxa"/>
        </w:trPr>
        <w:tc>
          <w:tcPr>
            <w:tcW w:w="3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AE4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95C5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7AA23BB" w14:textId="77777777" w:rsidTr="00611BE3">
        <w:trPr>
          <w:gridAfter w:val="1"/>
          <w:wAfter w:w="72" w:type="dxa"/>
        </w:trPr>
        <w:tc>
          <w:tcPr>
            <w:tcW w:w="3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8B16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D1B7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611BE3" w:rsidRPr="00611BE3" w14:paraId="02C8EA10" w14:textId="77777777" w:rsidTr="00611BE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2" w:type="dxa"/>
          <w:trHeight w:val="30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EA203" w14:textId="77777777" w:rsidR="00611BE3" w:rsidRPr="00611BE3" w:rsidRDefault="00611BE3" w:rsidP="00611BE3">
            <w:pPr>
              <w:widowControl w:val="0"/>
              <w:spacing w:line="240" w:lineRule="auto"/>
              <w:rPr>
                <w:color w:val="000000"/>
              </w:rPr>
            </w:pPr>
            <w:r w:rsidRPr="00611BE3">
              <w:t>Bankovní spojení EUR: 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ECF70" w14:textId="62EE3CC3" w:rsidR="00611BE3" w:rsidRPr="00611BE3" w:rsidRDefault="00434E32" w:rsidP="00611BE3">
            <w:pPr>
              <w:widowControl w:val="0"/>
              <w:spacing w:line="240" w:lineRule="auto"/>
              <w:rPr>
                <w:color w:val="000000"/>
              </w:rPr>
            </w:pPr>
            <w:r>
              <w:t>XXX</w:t>
            </w:r>
          </w:p>
        </w:tc>
      </w:tr>
      <w:tr w:rsidR="00FB5329" w:rsidRPr="00DC542A" w14:paraId="2F003121" w14:textId="77777777" w:rsidTr="00611BE3">
        <w:trPr>
          <w:gridAfter w:val="1"/>
          <w:wAfter w:w="72" w:type="dxa"/>
        </w:trPr>
        <w:tc>
          <w:tcPr>
            <w:tcW w:w="3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35E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5361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15E28B21" w14:textId="77777777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2D20DC31" w14:textId="77777777" w:rsidTr="00611BE3">
        <w:trPr>
          <w:gridAfter w:val="1"/>
          <w:wAfter w:w="72" w:type="dxa"/>
        </w:trPr>
        <w:tc>
          <w:tcPr>
            <w:tcW w:w="3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850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F0D5" w14:textId="44FD4AAD" w:rsidR="00FB5329" w:rsidRPr="00DC542A" w:rsidRDefault="00434E3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  <w:r w:rsidR="00114A54" w:rsidRPr="00114A54">
              <w:rPr>
                <w:color w:val="000000" w:themeColor="text1"/>
              </w:rPr>
              <w:t>.</w:t>
            </w:r>
          </w:p>
        </w:tc>
      </w:tr>
      <w:tr w:rsidR="00FB5329" w:rsidRPr="00DC542A" w14:paraId="5EDCF6AE" w14:textId="77777777" w:rsidTr="00611BE3">
        <w:trPr>
          <w:gridAfter w:val="1"/>
          <w:wAfter w:w="72" w:type="dxa"/>
        </w:trPr>
        <w:tc>
          <w:tcPr>
            <w:tcW w:w="3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223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46A9465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66FD21F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CF19" w14:textId="11520D88" w:rsidR="00FB5329" w:rsidRDefault="00434E3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 w:themeColor="text1"/>
                <w:lang w:eastAsia="x-none"/>
              </w:rPr>
            </w:pPr>
            <w:r>
              <w:rPr>
                <w:rFonts w:eastAsia="Times New Roman"/>
                <w:color w:val="000000" w:themeColor="text1"/>
                <w:lang w:eastAsia="x-none"/>
              </w:rPr>
              <w:t>XXX</w:t>
            </w:r>
          </w:p>
          <w:p w14:paraId="25303ACD" w14:textId="77777777" w:rsidR="00EF2A4E" w:rsidRPr="00EF2A4E" w:rsidRDefault="00EF2A4E" w:rsidP="00EF2A4E">
            <w:pPr>
              <w:pStyle w:val="Zkladntext"/>
              <w:rPr>
                <w:highlight w:val="green"/>
                <w:lang w:val="cs-CZ"/>
              </w:rPr>
            </w:pPr>
          </w:p>
          <w:p w14:paraId="4C4DC720" w14:textId="7DEB4C94" w:rsidR="00FB5329" w:rsidRPr="00DC542A" w:rsidRDefault="00081157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S/CXI/8410/2024/124"/>
                  </w:textInput>
                </w:ffData>
              </w:fldChar>
            </w:r>
            <w:bookmarkStart w:id="0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S/CXI/8410/2024/124</w:t>
            </w:r>
            <w:r>
              <w:rPr>
                <w:color w:val="000000" w:themeColor="text1"/>
              </w:rPr>
              <w:fldChar w:fldCharType="end"/>
            </w:r>
            <w:bookmarkEnd w:id="0"/>
          </w:p>
        </w:tc>
      </w:tr>
      <w:tr w:rsidR="00FB5329" w:rsidRPr="00DC542A" w14:paraId="242DE6C2" w14:textId="77777777" w:rsidTr="00611BE3">
        <w:trPr>
          <w:gridAfter w:val="1"/>
          <w:wAfter w:w="72" w:type="dxa"/>
        </w:trPr>
        <w:tc>
          <w:tcPr>
            <w:tcW w:w="3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6C2B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8A3B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0FFA548E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8A8848" w14:textId="77777777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0A9AEA95" w14:textId="77777777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44CCF53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00F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BFDA" w14:textId="77777777" w:rsidR="008136D3" w:rsidRPr="008136D3" w:rsidRDefault="004B64F9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KLOPAN LIBEREC, a.s.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SKLOPAN LIBEREC, a.s.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219D595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5C42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0D91" w14:textId="77777777" w:rsidR="008136D3" w:rsidRPr="008136D3" w:rsidRDefault="004B64F9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hradní 445/45, Liberec, 4600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Zahradní 445/45, Liberec, 46001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7FB45F3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BE31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383D" w14:textId="77777777" w:rsidR="008136D3" w:rsidRPr="008136D3" w:rsidRDefault="004B64F9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03442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25034421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2F90526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9FC4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F380" w14:textId="77777777" w:rsidR="008136D3" w:rsidRPr="008136D3" w:rsidRDefault="004B64F9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2503442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CZ25034421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01E8989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68F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08B3" w14:textId="491FF162" w:rsidR="008136D3" w:rsidRPr="008136D3" w:rsidRDefault="00434E3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8136D3" w:rsidRPr="00DC542A" w14:paraId="53E7551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93DA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03B6" w14:textId="77777777" w:rsidR="008136D3" w:rsidRPr="008136D3" w:rsidRDefault="00757501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byškem Panchartkem, předseda správní rady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Zbyškem Panchartkem, předseda správní rady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00AC11C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B2C2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BC27" w14:textId="118E6B61" w:rsidR="008136D3" w:rsidRPr="008136D3" w:rsidRDefault="00434E3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8136D3" w:rsidRPr="00DC542A" w14:paraId="0405DD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4241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1D81A99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125382A3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61F6" w14:textId="2DF51CF1" w:rsidR="008136D3" w:rsidRPr="008136D3" w:rsidRDefault="00434E3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</w:tbl>
    <w:p w14:paraId="700C8E3D" w14:textId="7777777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2CB9ACBA" w14:textId="77777777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6A242B11" w14:textId="77777777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089520AB" w14:textId="77777777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5C12EC67" w14:textId="77777777" w:rsidR="00E4402B" w:rsidRDefault="00E4402B"/>
    <w:p w14:paraId="5D0412AB" w14:textId="36EE3609" w:rsidR="00E4402B" w:rsidRPr="00E37BC4" w:rsidRDefault="00D83880" w:rsidP="00C52B0C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IIoT a pokročilé sensorice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IIoT a pokročilé sensorice</w:t>
      </w:r>
      <w:r>
        <w:rPr>
          <w:color w:val="000000" w:themeColor="text1"/>
        </w:rPr>
        <w:fldChar w:fldCharType="end"/>
      </w:r>
    </w:p>
    <w:p w14:paraId="07C78B00" w14:textId="5F070145" w:rsidR="0029417D" w:rsidRDefault="00BD234E" w:rsidP="0029417D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A463B1">
        <w:t>XXX</w:t>
      </w:r>
    </w:p>
    <w:p w14:paraId="27587220" w14:textId="235BC86A" w:rsidR="003C5B14" w:rsidRPr="00D3358C" w:rsidRDefault="003C5B14" w:rsidP="0029417D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A463B1">
        <w:t>XXX</w:t>
      </w:r>
    </w:p>
    <w:p w14:paraId="071EFA31" w14:textId="6991E22C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460CB8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30"/>
            </w:textInput>
          </w:ffData>
        </w:fldChar>
      </w:r>
      <w:r w:rsidR="00460CB8">
        <w:rPr>
          <w:color w:val="000000" w:themeColor="text1"/>
        </w:rPr>
        <w:instrText xml:space="preserve"> FORMTEXT </w:instrText>
      </w:r>
      <w:r w:rsidR="00460CB8">
        <w:rPr>
          <w:color w:val="000000" w:themeColor="text1"/>
        </w:rPr>
      </w:r>
      <w:r w:rsidR="00460CB8">
        <w:rPr>
          <w:color w:val="000000" w:themeColor="text1"/>
        </w:rPr>
        <w:fldChar w:fldCharType="separate"/>
      </w:r>
      <w:r w:rsidR="00460CB8">
        <w:rPr>
          <w:noProof/>
          <w:color w:val="000000" w:themeColor="text1"/>
        </w:rPr>
        <w:t>30</w:t>
      </w:r>
      <w:r w:rsidR="00460CB8">
        <w:rPr>
          <w:color w:val="000000" w:themeColor="text1"/>
        </w:rPr>
        <w:fldChar w:fldCharType="end"/>
      </w:r>
      <w:r w:rsidRPr="00E37BC4">
        <w:t xml:space="preserve"> hod</w:t>
      </w:r>
      <w:r w:rsidR="00E17EEC" w:rsidRPr="00E37BC4">
        <w:t>.</w:t>
      </w:r>
    </w:p>
    <w:p w14:paraId="4A70CD04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bookmarkStart w:id="1" w:name="_GoBack"/>
    <w:p w14:paraId="6475FA87" w14:textId="2609D857" w:rsidR="00761FE0" w:rsidRPr="00E37BC4" w:rsidRDefault="000C334B" w:rsidP="00761FE0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Testy a proof-of-concepty vybraných řešení IIoT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Testy a proof-of-concepty vybraných řešení IIoT</w:t>
      </w:r>
      <w:r>
        <w:rPr>
          <w:color w:val="000000" w:themeColor="text1"/>
        </w:rPr>
        <w:fldChar w:fldCharType="end"/>
      </w:r>
      <w:bookmarkEnd w:id="1"/>
    </w:p>
    <w:p w14:paraId="66F08EE8" w14:textId="408C5DE5" w:rsidR="0003560C" w:rsidRDefault="00761FE0" w:rsidP="0003560C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A463B1">
        <w:t>XXX</w:t>
      </w:r>
    </w:p>
    <w:p w14:paraId="611609FC" w14:textId="177B53FB" w:rsidR="00761FE0" w:rsidRPr="00D3358C" w:rsidRDefault="00761FE0" w:rsidP="0003560C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Pr="00D3358C">
        <w:tab/>
      </w:r>
      <w:r w:rsidR="00A463B1">
        <w:t>XXX</w:t>
      </w:r>
      <w:r w:rsidR="003D507D" w:rsidRPr="003D507D">
        <w:t>.</w:t>
      </w:r>
    </w:p>
    <w:p w14:paraId="2589F798" w14:textId="4E7013CB" w:rsidR="00761FE0" w:rsidRDefault="00761FE0" w:rsidP="00761FE0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 w:rsidR="0003560C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65"/>
            </w:textInput>
          </w:ffData>
        </w:fldChar>
      </w:r>
      <w:r w:rsidR="0003560C">
        <w:rPr>
          <w:color w:val="000000" w:themeColor="text1"/>
        </w:rPr>
        <w:instrText xml:space="preserve"> FORMTEXT </w:instrText>
      </w:r>
      <w:r w:rsidR="0003560C">
        <w:rPr>
          <w:color w:val="000000" w:themeColor="text1"/>
        </w:rPr>
      </w:r>
      <w:r w:rsidR="0003560C">
        <w:rPr>
          <w:color w:val="000000" w:themeColor="text1"/>
        </w:rPr>
        <w:fldChar w:fldCharType="separate"/>
      </w:r>
      <w:r w:rsidR="0003560C">
        <w:rPr>
          <w:noProof/>
          <w:color w:val="000000" w:themeColor="text1"/>
        </w:rPr>
        <w:t>65</w:t>
      </w:r>
      <w:r w:rsidR="0003560C">
        <w:rPr>
          <w:color w:val="000000" w:themeColor="text1"/>
        </w:rPr>
        <w:fldChar w:fldCharType="end"/>
      </w:r>
      <w:r w:rsidRPr="00E37BC4">
        <w:t xml:space="preserve"> hod.</w:t>
      </w:r>
    </w:p>
    <w:p w14:paraId="38EC3D0A" w14:textId="77777777" w:rsidR="00761FE0" w:rsidRPr="00761FE0" w:rsidRDefault="00761FE0" w:rsidP="00761FE0">
      <w:pPr>
        <w:pStyle w:val="Zkladntext"/>
        <w:rPr>
          <w:lang w:val="cs-CZ" w:eastAsia="cs-CZ"/>
        </w:rPr>
      </w:pPr>
    </w:p>
    <w:p w14:paraId="01F075C5" w14:textId="77777777" w:rsidR="00AE4F93" w:rsidRDefault="00AE4F93" w:rsidP="004D2392">
      <w:pPr>
        <w:pStyle w:val="Zkladntext"/>
      </w:pPr>
    </w:p>
    <w:p w14:paraId="00E2B58D" w14:textId="77777777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145B916F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17E70412" w14:textId="77777777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493E876" w14:textId="77777777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0949AC33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A5FE870" w14:textId="77777777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7C6500C2" w14:textId="77777777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1317"/>
        <w:gridCol w:w="1972"/>
        <w:gridCol w:w="1948"/>
      </w:tblGrid>
      <w:tr w:rsidR="00D3358C" w:rsidRPr="00E37BC4" w14:paraId="3FFE3C0E" w14:textId="77777777" w:rsidTr="008A23B8">
        <w:tc>
          <w:tcPr>
            <w:tcW w:w="3463" w:type="dxa"/>
            <w:vAlign w:val="center"/>
          </w:tcPr>
          <w:p w14:paraId="49DB105B" w14:textId="7777777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1317" w:type="dxa"/>
            <w:vAlign w:val="center"/>
          </w:tcPr>
          <w:p w14:paraId="740F52E4" w14:textId="7777777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972" w:type="dxa"/>
            <w:vAlign w:val="center"/>
          </w:tcPr>
          <w:p w14:paraId="0AEBDAE2" w14:textId="77777777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1948" w:type="dxa"/>
            <w:vAlign w:val="center"/>
          </w:tcPr>
          <w:p w14:paraId="1538D2DE" w14:textId="77777777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7DB38134" w14:textId="77777777" w:rsidTr="008A23B8">
        <w:tc>
          <w:tcPr>
            <w:tcW w:w="3463" w:type="dxa"/>
          </w:tcPr>
          <w:p w14:paraId="1752C1C6" w14:textId="7A8776BA" w:rsidR="00552B28" w:rsidRPr="00E37BC4" w:rsidRDefault="00EC4A6A" w:rsidP="008A23B8">
            <w:r w:rsidRPr="00E37BC4">
              <w:lastRenderedPageBreak/>
              <w:t xml:space="preserve">Ad. 2.1. </w:t>
            </w:r>
            <w:r w:rsidR="001F06E2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IIoT a pokročilé sensorice"/>
                  </w:textInput>
                </w:ffData>
              </w:fldChar>
            </w:r>
            <w:r w:rsidR="001F06E2">
              <w:rPr>
                <w:color w:val="000000" w:themeColor="text1"/>
              </w:rPr>
              <w:instrText xml:space="preserve"> FORMTEXT </w:instrText>
            </w:r>
            <w:r w:rsidR="001F06E2">
              <w:rPr>
                <w:color w:val="000000" w:themeColor="text1"/>
              </w:rPr>
            </w:r>
            <w:r w:rsidR="001F06E2">
              <w:rPr>
                <w:color w:val="000000" w:themeColor="text1"/>
              </w:rPr>
              <w:fldChar w:fldCharType="separate"/>
            </w:r>
            <w:r w:rsidR="001F06E2">
              <w:rPr>
                <w:noProof/>
                <w:color w:val="000000" w:themeColor="text1"/>
              </w:rPr>
              <w:t>Poradenství k IIoT a pokročilé sensorice</w:t>
            </w:r>
            <w:r w:rsidR="001F06E2">
              <w:rPr>
                <w:color w:val="000000" w:themeColor="text1"/>
              </w:rPr>
              <w:fldChar w:fldCharType="end"/>
            </w:r>
          </w:p>
        </w:tc>
        <w:tc>
          <w:tcPr>
            <w:tcW w:w="1317" w:type="dxa"/>
          </w:tcPr>
          <w:p w14:paraId="5CE096DB" w14:textId="20EA18D9" w:rsidR="00552B28" w:rsidRPr="003017D0" w:rsidRDefault="0026380E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30</w:t>
            </w:r>
            <w:r>
              <w:rPr>
                <w:color w:val="000000" w:themeColor="text1"/>
              </w:rPr>
              <w:fldChar w:fldCharType="end"/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1972" w:type="dxa"/>
          </w:tcPr>
          <w:p w14:paraId="2F0825CD" w14:textId="73CA05B0" w:rsidR="00552B28" w:rsidRPr="00E37BC4" w:rsidRDefault="009F0979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,24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63,24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948" w:type="dxa"/>
          </w:tcPr>
          <w:p w14:paraId="669F05EF" w14:textId="5CBF173C" w:rsidR="00552B28" w:rsidRPr="00E37BC4" w:rsidRDefault="009F0979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897,2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1 897,20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61FE0" w:rsidRPr="00E37BC4" w14:paraId="3071AEDA" w14:textId="77777777" w:rsidTr="008A23B8">
        <w:tc>
          <w:tcPr>
            <w:tcW w:w="3463" w:type="dxa"/>
          </w:tcPr>
          <w:p w14:paraId="6A70B0DB" w14:textId="795457E4" w:rsidR="00761FE0" w:rsidRPr="00BB7E42" w:rsidRDefault="00761FE0" w:rsidP="008A23B8">
            <w:r w:rsidRPr="00BB7E42">
              <w:t xml:space="preserve">Ad 2.2. </w:t>
            </w:r>
            <w:r w:rsidR="002638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vybraných řešení IIoT"/>
                  </w:textInput>
                </w:ffData>
              </w:fldChar>
            </w:r>
            <w:r w:rsidR="0026380E">
              <w:rPr>
                <w:color w:val="000000" w:themeColor="text1"/>
              </w:rPr>
              <w:instrText xml:space="preserve"> FORMTEXT </w:instrText>
            </w:r>
            <w:r w:rsidR="0026380E">
              <w:rPr>
                <w:color w:val="000000" w:themeColor="text1"/>
              </w:rPr>
            </w:r>
            <w:r w:rsidR="0026380E">
              <w:rPr>
                <w:color w:val="000000" w:themeColor="text1"/>
              </w:rPr>
              <w:fldChar w:fldCharType="separate"/>
            </w:r>
            <w:r w:rsidR="0026380E">
              <w:rPr>
                <w:noProof/>
                <w:color w:val="000000" w:themeColor="text1"/>
              </w:rPr>
              <w:t>Testy a proof-of-concepty vybraných řešení IIoT</w:t>
            </w:r>
            <w:r w:rsidR="0026380E">
              <w:rPr>
                <w:color w:val="000000" w:themeColor="text1"/>
              </w:rPr>
              <w:fldChar w:fldCharType="end"/>
            </w:r>
          </w:p>
        </w:tc>
        <w:tc>
          <w:tcPr>
            <w:tcW w:w="1317" w:type="dxa"/>
          </w:tcPr>
          <w:p w14:paraId="003DC344" w14:textId="36A1E7F9" w:rsidR="00761FE0" w:rsidRPr="00BB7E42" w:rsidRDefault="0026380E" w:rsidP="000B4C45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65</w:t>
            </w:r>
            <w:r>
              <w:rPr>
                <w:color w:val="000000" w:themeColor="text1"/>
              </w:rPr>
              <w:fldChar w:fldCharType="end"/>
            </w:r>
            <w:r w:rsidR="00761FE0" w:rsidRPr="00BB7E42">
              <w:t xml:space="preserve"> hod.</w:t>
            </w:r>
          </w:p>
        </w:tc>
        <w:tc>
          <w:tcPr>
            <w:tcW w:w="1972" w:type="dxa"/>
          </w:tcPr>
          <w:p w14:paraId="5C78A4EC" w14:textId="7292647B" w:rsidR="00761FE0" w:rsidRPr="00BB7E42" w:rsidRDefault="009F0979" w:rsidP="000B4C45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,24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63,24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948" w:type="dxa"/>
          </w:tcPr>
          <w:p w14:paraId="1B5BEBCC" w14:textId="7534DE92" w:rsidR="00761FE0" w:rsidRPr="00BB7E42" w:rsidRDefault="009F0979" w:rsidP="000B4C45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110,6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4 110,60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3358C" w:rsidRPr="00E37BC4" w14:paraId="2EFF0D94" w14:textId="77777777" w:rsidTr="008A23B8">
        <w:tc>
          <w:tcPr>
            <w:tcW w:w="6752" w:type="dxa"/>
            <w:gridSpan w:val="3"/>
          </w:tcPr>
          <w:p w14:paraId="2820EC57" w14:textId="7777777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1948" w:type="dxa"/>
          </w:tcPr>
          <w:p w14:paraId="12179D6D" w14:textId="1331766A" w:rsidR="00EC4A6A" w:rsidRPr="00BB7E42" w:rsidRDefault="009F0979" w:rsidP="00954FE0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 007,8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6 007,80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09B8BC56" w14:textId="77777777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0F1DF35B" w14:textId="77777777" w:rsidR="007D3772" w:rsidRPr="007D3772" w:rsidRDefault="007D3772" w:rsidP="007D3772"/>
    <w:p w14:paraId="0B0DA1CF" w14:textId="77777777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25053B12" w14:textId="77777777" w:rsidR="007D3772" w:rsidRDefault="007D3772" w:rsidP="007D3772">
      <w:pPr>
        <w:pStyle w:val="Odstavecseseznamem"/>
        <w:ind w:left="709"/>
      </w:pPr>
    </w:p>
    <w:p w14:paraId="54B7F635" w14:textId="77777777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306D32D6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1309"/>
        <w:gridCol w:w="1966"/>
        <w:gridCol w:w="1962"/>
      </w:tblGrid>
      <w:tr w:rsidR="00D6648E" w:rsidRPr="00E37BC4" w14:paraId="26D69A10" w14:textId="77777777" w:rsidTr="00EA0133">
        <w:tc>
          <w:tcPr>
            <w:tcW w:w="3463" w:type="dxa"/>
            <w:vAlign w:val="center"/>
          </w:tcPr>
          <w:p w14:paraId="6843FE93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1309" w:type="dxa"/>
            <w:vAlign w:val="center"/>
          </w:tcPr>
          <w:p w14:paraId="138A4E82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966" w:type="dxa"/>
            <w:vAlign w:val="center"/>
          </w:tcPr>
          <w:p w14:paraId="3BF2836E" w14:textId="77777777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1962" w:type="dxa"/>
            <w:vAlign w:val="center"/>
          </w:tcPr>
          <w:p w14:paraId="61A8E142" w14:textId="77777777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4DBE207A" w14:textId="77777777" w:rsidTr="00EA0133">
        <w:tc>
          <w:tcPr>
            <w:tcW w:w="3463" w:type="dxa"/>
          </w:tcPr>
          <w:p w14:paraId="11E11FAC" w14:textId="4150DF9B" w:rsidR="00D6648E" w:rsidRPr="00E37BC4" w:rsidRDefault="00D6648E" w:rsidP="00EA0133">
            <w:r w:rsidRPr="00E37BC4">
              <w:t xml:space="preserve">Ad. 2.1. </w:t>
            </w:r>
            <w:r w:rsidR="00F104E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IIoT a pokročilé sensorice"/>
                  </w:textInput>
                </w:ffData>
              </w:fldChar>
            </w:r>
            <w:r w:rsidR="00F104E6">
              <w:rPr>
                <w:color w:val="000000" w:themeColor="text1"/>
              </w:rPr>
              <w:instrText xml:space="preserve"> FORMTEXT </w:instrText>
            </w:r>
            <w:r w:rsidR="00F104E6">
              <w:rPr>
                <w:color w:val="000000" w:themeColor="text1"/>
              </w:rPr>
            </w:r>
            <w:r w:rsidR="00F104E6">
              <w:rPr>
                <w:color w:val="000000" w:themeColor="text1"/>
              </w:rPr>
              <w:fldChar w:fldCharType="separate"/>
            </w:r>
            <w:r w:rsidR="00F104E6">
              <w:rPr>
                <w:noProof/>
                <w:color w:val="000000" w:themeColor="text1"/>
              </w:rPr>
              <w:t>Poradenství k IIoT a pokročilé sensorice</w:t>
            </w:r>
            <w:r w:rsidR="00F104E6">
              <w:rPr>
                <w:color w:val="000000" w:themeColor="text1"/>
              </w:rPr>
              <w:fldChar w:fldCharType="end"/>
            </w:r>
          </w:p>
        </w:tc>
        <w:tc>
          <w:tcPr>
            <w:tcW w:w="1309" w:type="dxa"/>
          </w:tcPr>
          <w:p w14:paraId="0488C462" w14:textId="7BC644C9" w:rsidR="00D6648E" w:rsidRPr="003017D0" w:rsidRDefault="00F104E6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30</w:t>
            </w:r>
            <w:r>
              <w:rPr>
                <w:color w:val="000000" w:themeColor="text1"/>
              </w:rPr>
              <w:fldChar w:fldCharType="end"/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1966" w:type="dxa"/>
          </w:tcPr>
          <w:p w14:paraId="0DE28E3D" w14:textId="3F6D1274" w:rsidR="00D6648E" w:rsidRPr="00E37BC4" w:rsidRDefault="009F0979" w:rsidP="00B50C17">
            <w:pPr>
              <w:jc w:val="center"/>
            </w:pPr>
            <w:r>
              <w:rPr>
                <w:color w:val="000000" w:themeColor="text1"/>
              </w:rPr>
              <w:t>18</w:t>
            </w:r>
            <w:r w:rsidR="00EA0133">
              <w:rPr>
                <w:color w:val="000000" w:themeColor="text1"/>
              </w:rPr>
              <w:t>,-</w:t>
            </w:r>
          </w:p>
        </w:tc>
        <w:tc>
          <w:tcPr>
            <w:tcW w:w="1962" w:type="dxa"/>
          </w:tcPr>
          <w:p w14:paraId="47777B33" w14:textId="0A4DA07E" w:rsidR="00D6648E" w:rsidRPr="00E37BC4" w:rsidRDefault="009F0979" w:rsidP="00B50C17">
            <w:pPr>
              <w:jc w:val="center"/>
            </w:pPr>
            <w:r>
              <w:rPr>
                <w:color w:val="000000" w:themeColor="text1"/>
              </w:rPr>
              <w:t>540</w:t>
            </w:r>
            <w:r w:rsidR="00EA0133">
              <w:rPr>
                <w:color w:val="000000" w:themeColor="text1"/>
              </w:rPr>
              <w:t>,-</w:t>
            </w:r>
          </w:p>
        </w:tc>
      </w:tr>
      <w:tr w:rsidR="00761FE0" w:rsidRPr="00E37BC4" w14:paraId="0EEC0920" w14:textId="77777777" w:rsidTr="00EA0133">
        <w:tc>
          <w:tcPr>
            <w:tcW w:w="3463" w:type="dxa"/>
          </w:tcPr>
          <w:p w14:paraId="11F0D711" w14:textId="00C46C53" w:rsidR="00761FE0" w:rsidRPr="00BB7E42" w:rsidRDefault="00761FE0" w:rsidP="00EA0133">
            <w:r w:rsidRPr="00BB7E42">
              <w:t xml:space="preserve">Ad 2.2. </w:t>
            </w:r>
            <w:r w:rsidR="00F104E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vybraných řešení IIoT"/>
                  </w:textInput>
                </w:ffData>
              </w:fldChar>
            </w:r>
            <w:r w:rsidR="00F104E6">
              <w:rPr>
                <w:color w:val="000000" w:themeColor="text1"/>
              </w:rPr>
              <w:instrText xml:space="preserve"> FORMTEXT </w:instrText>
            </w:r>
            <w:r w:rsidR="00F104E6">
              <w:rPr>
                <w:color w:val="000000" w:themeColor="text1"/>
              </w:rPr>
            </w:r>
            <w:r w:rsidR="00F104E6">
              <w:rPr>
                <w:color w:val="000000" w:themeColor="text1"/>
              </w:rPr>
              <w:fldChar w:fldCharType="separate"/>
            </w:r>
            <w:r w:rsidR="00F104E6">
              <w:rPr>
                <w:noProof/>
                <w:color w:val="000000" w:themeColor="text1"/>
              </w:rPr>
              <w:t>Testy a proof-of-concepty vybraných řešení IIoT</w:t>
            </w:r>
            <w:r w:rsidR="00F104E6">
              <w:rPr>
                <w:color w:val="000000" w:themeColor="text1"/>
              </w:rPr>
              <w:fldChar w:fldCharType="end"/>
            </w:r>
          </w:p>
        </w:tc>
        <w:tc>
          <w:tcPr>
            <w:tcW w:w="1309" w:type="dxa"/>
          </w:tcPr>
          <w:p w14:paraId="5F776C7C" w14:textId="2FB5657D" w:rsidR="00761FE0" w:rsidRPr="00BB7E42" w:rsidRDefault="00F104E6" w:rsidP="000B4C45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65</w:t>
            </w:r>
            <w:r>
              <w:rPr>
                <w:color w:val="000000" w:themeColor="text1"/>
              </w:rPr>
              <w:fldChar w:fldCharType="end"/>
            </w:r>
            <w:r w:rsidR="00EA0133">
              <w:rPr>
                <w:color w:val="000000" w:themeColor="text1"/>
              </w:rPr>
              <w:t xml:space="preserve"> </w:t>
            </w:r>
            <w:r w:rsidR="00761FE0" w:rsidRPr="00BB7E42">
              <w:t>hod.</w:t>
            </w:r>
          </w:p>
        </w:tc>
        <w:tc>
          <w:tcPr>
            <w:tcW w:w="1966" w:type="dxa"/>
          </w:tcPr>
          <w:p w14:paraId="0389AB90" w14:textId="77777777" w:rsidR="00761FE0" w:rsidRPr="00E37BC4" w:rsidRDefault="00EA0133" w:rsidP="000B4C45">
            <w:pPr>
              <w:jc w:val="center"/>
            </w:pPr>
            <w:r>
              <w:rPr>
                <w:color w:val="000000" w:themeColor="text1"/>
              </w:rPr>
              <w:t>15,-</w:t>
            </w:r>
          </w:p>
        </w:tc>
        <w:tc>
          <w:tcPr>
            <w:tcW w:w="1962" w:type="dxa"/>
          </w:tcPr>
          <w:p w14:paraId="538776F9" w14:textId="4DE77F61" w:rsidR="00761FE0" w:rsidRPr="00E37BC4" w:rsidRDefault="009F0979" w:rsidP="000B4C45">
            <w:pPr>
              <w:jc w:val="center"/>
            </w:pPr>
            <w:r>
              <w:rPr>
                <w:color w:val="000000" w:themeColor="text1"/>
              </w:rPr>
              <w:t>975</w:t>
            </w:r>
            <w:r w:rsidR="00EA0133">
              <w:rPr>
                <w:color w:val="000000" w:themeColor="text1"/>
              </w:rPr>
              <w:t>,-</w:t>
            </w:r>
          </w:p>
        </w:tc>
      </w:tr>
      <w:tr w:rsidR="00D6648E" w:rsidRPr="00E37BC4" w14:paraId="27014B2B" w14:textId="77777777" w:rsidTr="00EA0133">
        <w:tc>
          <w:tcPr>
            <w:tcW w:w="6738" w:type="dxa"/>
            <w:gridSpan w:val="3"/>
          </w:tcPr>
          <w:p w14:paraId="7588BDCB" w14:textId="77777777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1962" w:type="dxa"/>
          </w:tcPr>
          <w:p w14:paraId="19E5FC00" w14:textId="44FC3F24" w:rsidR="00D6648E" w:rsidRPr="00BB7E42" w:rsidRDefault="009F0979" w:rsidP="00762511">
            <w:pPr>
              <w:jc w:val="center"/>
            </w:pPr>
            <w:r>
              <w:rPr>
                <w:color w:val="000000" w:themeColor="text1"/>
              </w:rPr>
              <w:t>1 515</w:t>
            </w:r>
            <w:r w:rsidR="00EA0133">
              <w:rPr>
                <w:color w:val="000000" w:themeColor="text1"/>
              </w:rPr>
              <w:t>,-</w:t>
            </w:r>
          </w:p>
        </w:tc>
      </w:tr>
    </w:tbl>
    <w:p w14:paraId="77AD68D0" w14:textId="77777777" w:rsidR="001B1E6B" w:rsidRPr="001B1E6B" w:rsidRDefault="001B1E6B" w:rsidP="001B1E6B"/>
    <w:p w14:paraId="529AFC9B" w14:textId="467C1E0C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9F0979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 515,-"/>
            </w:textInput>
          </w:ffData>
        </w:fldChar>
      </w:r>
      <w:r w:rsidR="009F0979">
        <w:rPr>
          <w:b/>
          <w:bCs/>
          <w:color w:val="000000" w:themeColor="text1"/>
        </w:rPr>
        <w:instrText xml:space="preserve"> FORMTEXT </w:instrText>
      </w:r>
      <w:r w:rsidR="009F0979">
        <w:rPr>
          <w:b/>
          <w:bCs/>
          <w:color w:val="000000" w:themeColor="text1"/>
        </w:rPr>
      </w:r>
      <w:r w:rsidR="009F0979">
        <w:rPr>
          <w:b/>
          <w:bCs/>
          <w:color w:val="000000" w:themeColor="text1"/>
        </w:rPr>
        <w:fldChar w:fldCharType="separate"/>
      </w:r>
      <w:r w:rsidR="009F0979">
        <w:rPr>
          <w:b/>
          <w:bCs/>
          <w:noProof/>
          <w:color w:val="000000" w:themeColor="text1"/>
        </w:rPr>
        <w:t>1 515,-</w:t>
      </w:r>
      <w:r w:rsidR="009F0979">
        <w:rPr>
          <w:b/>
          <w:bCs/>
          <w:color w:val="000000" w:themeColor="text1"/>
        </w:rPr>
        <w:fldChar w:fldCharType="end"/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9F0979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 261,64"/>
            </w:textInput>
          </w:ffData>
        </w:fldChar>
      </w:r>
      <w:r w:rsidR="009F0979">
        <w:rPr>
          <w:b/>
          <w:bCs/>
          <w:color w:val="000000" w:themeColor="text1"/>
        </w:rPr>
        <w:instrText xml:space="preserve"> FORMTEXT </w:instrText>
      </w:r>
      <w:r w:rsidR="009F0979">
        <w:rPr>
          <w:b/>
          <w:bCs/>
          <w:color w:val="000000" w:themeColor="text1"/>
        </w:rPr>
      </w:r>
      <w:r w:rsidR="009F0979">
        <w:rPr>
          <w:b/>
          <w:bCs/>
          <w:color w:val="000000" w:themeColor="text1"/>
        </w:rPr>
        <w:fldChar w:fldCharType="separate"/>
      </w:r>
      <w:r w:rsidR="009F0979">
        <w:rPr>
          <w:b/>
          <w:bCs/>
          <w:noProof/>
          <w:color w:val="000000" w:themeColor="text1"/>
        </w:rPr>
        <w:t>1 261,64</w:t>
      </w:r>
      <w:r w:rsidR="009F0979">
        <w:rPr>
          <w:b/>
          <w:bCs/>
          <w:color w:val="000000" w:themeColor="text1"/>
        </w:rPr>
        <w:fldChar w:fldCharType="end"/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1ED9A8B1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1F2954BC" w14:textId="77777777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0FA48040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4D8C375" w14:textId="77777777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7ACF3FC9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7BCEEB84" w14:textId="77777777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4C2E1D90" w14:textId="77777777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20310BD6" w14:textId="77777777" w:rsidR="007D3772" w:rsidRPr="007D3772" w:rsidRDefault="007D3772" w:rsidP="007D3772"/>
    <w:p w14:paraId="149FC126" w14:textId="77777777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lastRenderedPageBreak/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FC18F51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4FA3FF53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6186F861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11F38A4A" w14:textId="77777777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470D05AF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599FEB61" w14:textId="77777777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6715DC26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CAB9DEE" w14:textId="77777777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7F3C71F2" w14:textId="77777777" w:rsidTr="00EB6CA2">
        <w:tc>
          <w:tcPr>
            <w:tcW w:w="2185" w:type="dxa"/>
            <w:vAlign w:val="center"/>
          </w:tcPr>
          <w:p w14:paraId="6ED6A486" w14:textId="77777777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B72AC8E" w14:textId="77777777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39529170" w14:textId="77777777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FA244F7" w14:textId="77777777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DFFA6A6" w14:textId="77777777" w:rsidTr="00EB6CA2">
        <w:tc>
          <w:tcPr>
            <w:tcW w:w="2185" w:type="dxa"/>
            <w:vAlign w:val="center"/>
          </w:tcPr>
          <w:p w14:paraId="4CEC5649" w14:textId="0B629A91" w:rsidR="00EC7437" w:rsidRPr="00E96F7D" w:rsidRDefault="00443E1F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 007,8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6 007,80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21B714A6" w14:textId="33004689" w:rsidR="00EC7437" w:rsidRPr="00E96F7D" w:rsidRDefault="00443E1F" w:rsidP="00EA0133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515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1 515,-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3" w:type="dxa"/>
          </w:tcPr>
          <w:p w14:paraId="079FEDE3" w14:textId="40E89A6E" w:rsidR="00EC7437" w:rsidRPr="00E96F7D" w:rsidRDefault="00443E1F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492,8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4 492,80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1D75DF2E" w14:textId="332F66B9" w:rsidR="00EC7437" w:rsidRPr="00E96F7D" w:rsidRDefault="00443E1F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 246,4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2 246,40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63A91E52" w14:textId="77777777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9FD1ED5" w14:textId="77777777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2E94B290" w14:textId="77777777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19930858" w14:textId="77777777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 xml:space="preserve">ny hrazené Příjemcem, výše veřejných prostředků a výše </w:t>
      </w:r>
      <w:r w:rsidR="006C0846">
        <w:lastRenderedPageBreak/>
        <w:t>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38B3DD21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7370790" w14:textId="77777777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452A1194" w14:textId="77777777" w:rsidR="007D3772" w:rsidRPr="007D3772" w:rsidRDefault="007D3772" w:rsidP="007D3772"/>
    <w:p w14:paraId="79F134AD" w14:textId="47368E7E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</w:t>
      </w:r>
      <w:r w:rsidR="00BF7093">
        <w:rPr>
          <w:color w:val="000000" w:themeColor="text1"/>
        </w:rPr>
        <w:t>1.</w:t>
      </w:r>
      <w:r w:rsidR="00FE075B">
        <w:rPr>
          <w:color w:val="000000" w:themeColor="text1"/>
        </w:rPr>
        <w:t>5</w:t>
      </w:r>
      <w:r w:rsidR="00BF7093">
        <w:rPr>
          <w:color w:val="000000" w:themeColor="text1"/>
        </w:rPr>
        <w:t>.2025</w:t>
      </w:r>
      <w:r w:rsidRPr="00401139">
        <w:rPr>
          <w:color w:val="000000" w:themeColor="text1"/>
        </w:rPr>
        <w:t xml:space="preserve"> do </w:t>
      </w:r>
      <w:r w:rsidR="002E5C7B">
        <w:rPr>
          <w:color w:val="000000" w:themeColor="text1"/>
        </w:rPr>
        <w:t>30.</w:t>
      </w:r>
      <w:r w:rsidR="00FE075B">
        <w:rPr>
          <w:color w:val="000000" w:themeColor="text1"/>
        </w:rPr>
        <w:t>6</w:t>
      </w:r>
      <w:r w:rsidR="00BF7093">
        <w:rPr>
          <w:color w:val="000000" w:themeColor="text1"/>
        </w:rPr>
        <w:t>.2025</w:t>
      </w:r>
      <w:r w:rsidR="007D3772">
        <w:rPr>
          <w:color w:val="000000" w:themeColor="text1"/>
        </w:rPr>
        <w:t>.</w:t>
      </w:r>
    </w:p>
    <w:p w14:paraId="357ECFDA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5CF8B38A" w14:textId="2442E38C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EA0133">
        <w:rPr>
          <w:color w:val="000000" w:themeColor="text1"/>
        </w:rPr>
        <w:t>Libere</w:t>
      </w:r>
      <w:r w:rsidR="00D36435">
        <w:rPr>
          <w:color w:val="000000" w:themeColor="text1"/>
        </w:rPr>
        <w:t>c</w:t>
      </w:r>
      <w:r w:rsidRPr="007D3772">
        <w:rPr>
          <w:color w:val="000000" w:themeColor="text1"/>
        </w:rPr>
        <w:t xml:space="preserve">    </w:t>
      </w:r>
    </w:p>
    <w:p w14:paraId="4C0C8AB3" w14:textId="77777777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1831DF81" w14:textId="77777777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4C580F9C" w14:textId="77777777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95BB2E7" w14:textId="7777777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7DEB42F2" w14:textId="777777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457447DB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8F585D6" w14:textId="77777777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1E1C1E16" w14:textId="77777777" w:rsidR="002855D9" w:rsidRDefault="002855D9" w:rsidP="002855D9">
      <w:pPr>
        <w:spacing w:line="240" w:lineRule="auto"/>
      </w:pPr>
    </w:p>
    <w:p w14:paraId="37BB0670" w14:textId="77777777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1CF2C55D" w14:textId="77777777" w:rsidR="00C84C17" w:rsidRDefault="00C84C17" w:rsidP="00C84C17">
      <w:pPr>
        <w:pStyle w:val="Odstavecseseznamem"/>
      </w:pPr>
    </w:p>
    <w:p w14:paraId="288A4FFC" w14:textId="77777777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EA0133">
        <w:rPr>
          <w:color w:val="000000" w:themeColor="text1"/>
        </w:rPr>
        <w:t>datové vstupy</w:t>
      </w:r>
      <w:r w:rsidRPr="00D605BF">
        <w:rPr>
          <w:bCs/>
          <w:color w:val="000000"/>
        </w:rPr>
        <w:t>.</w:t>
      </w:r>
    </w:p>
    <w:p w14:paraId="5D2B5029" w14:textId="77777777" w:rsidR="00C84C17" w:rsidRDefault="00C84C17" w:rsidP="00C84C17">
      <w:pPr>
        <w:pStyle w:val="Odstavecseseznamem"/>
      </w:pPr>
    </w:p>
    <w:p w14:paraId="61AF1806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153983EF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5A8734ED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lastRenderedPageBreak/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10063E6B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5A954BF0" w14:textId="77777777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2C8F1174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79D4BC3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3870294B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41ECF797" w14:textId="77777777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3AE3316D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38EBE6B5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4CFE8BD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5C487C85" w14:textId="77777777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63DDCEFC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F5A7D20" w14:textId="77777777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5D7F1DD3" w14:textId="77777777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0A80263" w14:textId="77777777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78708EE4" w14:textId="77777777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1126B5A5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15133550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1CF104A6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54C0BD3" w14:textId="77777777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</w:t>
      </w: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smlouvy i před uplynutím dodatečné lhůty poté, co prohlášení druhé smluvní strany obdržela.</w:t>
      </w:r>
    </w:p>
    <w:p w14:paraId="316E8E59" w14:textId="77777777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7957A6FF" w14:textId="77777777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32AE8D75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6D758F0D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51FDE5D9" w14:textId="77777777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1467A70D" w14:textId="77777777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678062CE" w14:textId="77777777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435B64CF" w14:textId="77777777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2437293A" w14:textId="77777777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7335493E" w14:textId="77777777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5E47D20C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0452006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8E58A43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8F6244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15DB7066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1E73A50A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558F3C0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2FE0E96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lastRenderedPageBreak/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obdrží </w:t>
      </w:r>
      <w:r w:rsidR="00235B26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178285FC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055AC0D5" w14:textId="77777777" w:rsidR="00761FE0" w:rsidRDefault="008B5C4F" w:rsidP="00761FE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05A46C45" w14:textId="77777777" w:rsidR="00761FE0" w:rsidRDefault="00761FE0" w:rsidP="00761FE0">
      <w:pPr>
        <w:pStyle w:val="Odstavecseseznamem"/>
      </w:pPr>
    </w:p>
    <w:p w14:paraId="0FDA5216" w14:textId="77777777" w:rsidR="006B7781" w:rsidRDefault="006B7781" w:rsidP="00761FE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458BC040" w14:textId="77777777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1D5B422D" w14:textId="77777777" w:rsidR="00B142D5" w:rsidRPr="00761FE0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5106738A" w14:textId="77777777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7F8B6200" w14:textId="77777777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213B9748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0627739C" w14:textId="77777777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28AE1F8" w14:textId="77777777" w:rsidR="00B142D5" w:rsidRPr="00B142D5" w:rsidRDefault="00B142D5" w:rsidP="00761FE0">
      <w:pPr>
        <w:pStyle w:val="Zkladntext"/>
        <w:autoSpaceDE/>
        <w:autoSpaceDN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727CBFA0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50BA6B6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7B074FC2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28BB5C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CA116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7709678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ED606E7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33D3A9CE" w14:textId="77777777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5A260E2A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00FA424B" w14:textId="77777777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1BCDF357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46FD1E02" w14:textId="594DB6D1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A463B1">
              <w:rPr>
                <w:sz w:val="24"/>
                <w:szCs w:val="24"/>
              </w:rPr>
              <w:t>6.5.2025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750A0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600F9CA4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51F92C99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5F30CE6F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E6C64E5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4F678699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EA013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byšek Panchartek"/>
                  </w:textInput>
                </w:ffData>
              </w:fldChar>
            </w:r>
            <w:r w:rsidR="00EA0133">
              <w:rPr>
                <w:sz w:val="24"/>
                <w:szCs w:val="24"/>
              </w:rPr>
              <w:instrText xml:space="preserve"> FORMTEXT </w:instrText>
            </w:r>
            <w:r w:rsidR="00EA0133">
              <w:rPr>
                <w:sz w:val="24"/>
                <w:szCs w:val="24"/>
              </w:rPr>
            </w:r>
            <w:r w:rsidR="00EA0133">
              <w:rPr>
                <w:sz w:val="24"/>
                <w:szCs w:val="24"/>
              </w:rPr>
              <w:fldChar w:fldCharType="separate"/>
            </w:r>
            <w:r w:rsidR="00EA0133">
              <w:rPr>
                <w:noProof/>
                <w:sz w:val="24"/>
                <w:szCs w:val="24"/>
              </w:rPr>
              <w:t>Zbyšek Panchartek</w:t>
            </w:r>
            <w:r w:rsidR="00EA0133">
              <w:rPr>
                <w:sz w:val="24"/>
                <w:szCs w:val="24"/>
              </w:rPr>
              <w:fldChar w:fldCharType="end"/>
            </w:r>
          </w:p>
          <w:p w14:paraId="51A37A84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="00EA013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ředseda správní rady"/>
                  </w:textInput>
                </w:ffData>
              </w:fldChar>
            </w:r>
            <w:r w:rsidR="00EA0133">
              <w:rPr>
                <w:sz w:val="24"/>
                <w:szCs w:val="24"/>
              </w:rPr>
              <w:instrText xml:space="preserve"> FORMTEXT </w:instrText>
            </w:r>
            <w:r w:rsidR="00EA0133">
              <w:rPr>
                <w:sz w:val="24"/>
                <w:szCs w:val="24"/>
              </w:rPr>
            </w:r>
            <w:r w:rsidR="00EA0133">
              <w:rPr>
                <w:sz w:val="24"/>
                <w:szCs w:val="24"/>
              </w:rPr>
              <w:fldChar w:fldCharType="separate"/>
            </w:r>
            <w:r w:rsidR="00EA0133">
              <w:rPr>
                <w:noProof/>
                <w:sz w:val="24"/>
                <w:szCs w:val="24"/>
              </w:rPr>
              <w:t>předseda správní rady</w:t>
            </w:r>
            <w:r w:rsidR="00EA0133">
              <w:rPr>
                <w:sz w:val="24"/>
                <w:szCs w:val="24"/>
              </w:rPr>
              <w:fldChar w:fldCharType="end"/>
            </w:r>
          </w:p>
          <w:p w14:paraId="079FF91E" w14:textId="77777777" w:rsidR="008B5C4F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1F249B3D" w14:textId="77777777" w:rsidR="00EA0133" w:rsidRDefault="00EA0133" w:rsidP="00EA0133">
            <w:pPr>
              <w:pStyle w:val="Zkladntext"/>
              <w:rPr>
                <w:lang w:val="cs-CZ" w:eastAsia="cs-CZ"/>
              </w:rPr>
            </w:pPr>
          </w:p>
          <w:p w14:paraId="5A64347F" w14:textId="77777777" w:rsidR="00EA0133" w:rsidRPr="00EA0133" w:rsidRDefault="00EA0133" w:rsidP="00EA0133">
            <w:pPr>
              <w:pStyle w:val="Zkladntext"/>
              <w:rPr>
                <w:lang w:val="cs-CZ" w:eastAsia="cs-CZ"/>
              </w:rPr>
            </w:pPr>
          </w:p>
          <w:p w14:paraId="513ED4F6" w14:textId="29E76A3C" w:rsidR="008B5C4F" w:rsidRPr="00503DFE" w:rsidRDefault="008B5C4F" w:rsidP="00EA0133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EA0133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A463B1">
              <w:rPr>
                <w:sz w:val="24"/>
                <w:szCs w:val="24"/>
              </w:rPr>
              <w:t>5.5.2025</w:t>
            </w:r>
          </w:p>
        </w:tc>
      </w:tr>
    </w:tbl>
    <w:p w14:paraId="36D04A4C" w14:textId="77777777" w:rsidR="008914A8" w:rsidRPr="00DC542A" w:rsidRDefault="008914A8" w:rsidP="00CC21FF"/>
    <w:sectPr w:rsidR="008914A8" w:rsidRPr="00DC542A" w:rsidSect="00761FE0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283A0" w14:textId="77777777" w:rsidR="007C1376" w:rsidRDefault="007C1376" w:rsidP="00DC542A">
      <w:pPr>
        <w:spacing w:line="240" w:lineRule="auto"/>
      </w:pPr>
      <w:r>
        <w:separator/>
      </w:r>
    </w:p>
  </w:endnote>
  <w:endnote w:type="continuationSeparator" w:id="0">
    <w:p w14:paraId="0F9F49F5" w14:textId="77777777" w:rsidR="007C1376" w:rsidRDefault="007C1376" w:rsidP="00DC542A">
      <w:pPr>
        <w:spacing w:line="240" w:lineRule="auto"/>
      </w:pPr>
      <w:r>
        <w:continuationSeparator/>
      </w:r>
    </w:p>
  </w:endnote>
  <w:endnote w:type="continuationNotice" w:id="1">
    <w:p w14:paraId="24BB9F41" w14:textId="77777777" w:rsidR="007C1376" w:rsidRDefault="007C13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7178" w14:textId="77777777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324209B6" wp14:editId="2A7B48EF">
          <wp:extent cx="5753100" cy="5238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22AC8" w14:textId="77777777" w:rsidR="007C1376" w:rsidRDefault="007C1376" w:rsidP="00DC542A">
      <w:pPr>
        <w:spacing w:line="240" w:lineRule="auto"/>
      </w:pPr>
      <w:r>
        <w:separator/>
      </w:r>
    </w:p>
  </w:footnote>
  <w:footnote w:type="continuationSeparator" w:id="0">
    <w:p w14:paraId="506CF03B" w14:textId="77777777" w:rsidR="007C1376" w:rsidRDefault="007C1376" w:rsidP="00DC542A">
      <w:pPr>
        <w:spacing w:line="240" w:lineRule="auto"/>
      </w:pPr>
      <w:r>
        <w:continuationSeparator/>
      </w:r>
    </w:p>
  </w:footnote>
  <w:footnote w:type="continuationNotice" w:id="1">
    <w:p w14:paraId="4B4ABF5F" w14:textId="77777777" w:rsidR="007C1376" w:rsidRDefault="007C1376">
      <w:pPr>
        <w:spacing w:line="240" w:lineRule="auto"/>
      </w:pPr>
    </w:p>
  </w:footnote>
  <w:footnote w:id="2">
    <w:p w14:paraId="56A9CD0B" w14:textId="77777777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4B2BFF21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51DC1DE9" w14:textId="77777777" w:rsidR="00606ED4" w:rsidRDefault="00606ED4" w:rsidP="003A1D1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77277A4" wp14:editId="6D64A6FE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9674500" wp14:editId="19CEEC0A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047451AF" w14:textId="77777777" w:rsidR="00606ED4" w:rsidRDefault="00606ED4" w:rsidP="003A1D1B">
        <w:pPr>
          <w:pStyle w:val="Zpat"/>
          <w:jc w:val="right"/>
        </w:pPr>
      </w:p>
      <w:p w14:paraId="7D6E5879" w14:textId="77777777" w:rsidR="00606ED4" w:rsidRDefault="00606ED4" w:rsidP="003A1D1B">
        <w:pPr>
          <w:pStyle w:val="Zpat"/>
          <w:jc w:val="right"/>
        </w:pPr>
      </w:p>
      <w:p w14:paraId="0D45191D" w14:textId="77777777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6318">
          <w:rPr>
            <w:noProof/>
          </w:rPr>
          <w:t>4</w:t>
        </w:r>
        <w:r>
          <w:fldChar w:fldCharType="end"/>
        </w:r>
        <w:r>
          <w:t xml:space="preserve"> z </w:t>
        </w:r>
        <w:r w:rsidR="00761FE0"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3560C"/>
    <w:rsid w:val="0003662C"/>
    <w:rsid w:val="0004551C"/>
    <w:rsid w:val="00050125"/>
    <w:rsid w:val="00050B1D"/>
    <w:rsid w:val="000618CC"/>
    <w:rsid w:val="00062326"/>
    <w:rsid w:val="00063326"/>
    <w:rsid w:val="00066BD9"/>
    <w:rsid w:val="00066C1C"/>
    <w:rsid w:val="00067DB6"/>
    <w:rsid w:val="000764A9"/>
    <w:rsid w:val="00077220"/>
    <w:rsid w:val="000776F7"/>
    <w:rsid w:val="00080221"/>
    <w:rsid w:val="00080EE3"/>
    <w:rsid w:val="00081157"/>
    <w:rsid w:val="00084506"/>
    <w:rsid w:val="0008707C"/>
    <w:rsid w:val="00090A1A"/>
    <w:rsid w:val="00091366"/>
    <w:rsid w:val="00095CE0"/>
    <w:rsid w:val="000972B7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C334B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14A54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65D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D7BD8"/>
    <w:rsid w:val="001E37AE"/>
    <w:rsid w:val="001E7CE9"/>
    <w:rsid w:val="001F06E2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0B23"/>
    <w:rsid w:val="0024617F"/>
    <w:rsid w:val="00256B76"/>
    <w:rsid w:val="00260B37"/>
    <w:rsid w:val="00261774"/>
    <w:rsid w:val="0026380E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417D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E5C7B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6318"/>
    <w:rsid w:val="00387CB3"/>
    <w:rsid w:val="00393E36"/>
    <w:rsid w:val="003A1D1B"/>
    <w:rsid w:val="003A3FDF"/>
    <w:rsid w:val="003A4298"/>
    <w:rsid w:val="003A6133"/>
    <w:rsid w:val="003B3B04"/>
    <w:rsid w:val="003C1180"/>
    <w:rsid w:val="003C1832"/>
    <w:rsid w:val="003C5B14"/>
    <w:rsid w:val="003C7354"/>
    <w:rsid w:val="003D068F"/>
    <w:rsid w:val="003D08FF"/>
    <w:rsid w:val="003D507D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4E32"/>
    <w:rsid w:val="004365B0"/>
    <w:rsid w:val="00436749"/>
    <w:rsid w:val="0043761D"/>
    <w:rsid w:val="00443317"/>
    <w:rsid w:val="00443E1F"/>
    <w:rsid w:val="004449DC"/>
    <w:rsid w:val="00446605"/>
    <w:rsid w:val="004539CA"/>
    <w:rsid w:val="00460CB8"/>
    <w:rsid w:val="00463639"/>
    <w:rsid w:val="004642ED"/>
    <w:rsid w:val="004666D6"/>
    <w:rsid w:val="00471CCC"/>
    <w:rsid w:val="00474DA5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B64F9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A64A3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06ED4"/>
    <w:rsid w:val="00611BE3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93E60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57501"/>
    <w:rsid w:val="00760B13"/>
    <w:rsid w:val="00761FE0"/>
    <w:rsid w:val="00762511"/>
    <w:rsid w:val="00763F8C"/>
    <w:rsid w:val="00764B3D"/>
    <w:rsid w:val="0076717E"/>
    <w:rsid w:val="007736B4"/>
    <w:rsid w:val="00774595"/>
    <w:rsid w:val="00774A8B"/>
    <w:rsid w:val="00775739"/>
    <w:rsid w:val="007764D7"/>
    <w:rsid w:val="007810CC"/>
    <w:rsid w:val="00783049"/>
    <w:rsid w:val="00784B3F"/>
    <w:rsid w:val="00790BE4"/>
    <w:rsid w:val="00791A24"/>
    <w:rsid w:val="00793CB8"/>
    <w:rsid w:val="00793E6D"/>
    <w:rsid w:val="007946F2"/>
    <w:rsid w:val="007A27E2"/>
    <w:rsid w:val="007A3A0C"/>
    <w:rsid w:val="007A40C9"/>
    <w:rsid w:val="007A444B"/>
    <w:rsid w:val="007A4F09"/>
    <w:rsid w:val="007A5011"/>
    <w:rsid w:val="007A58EF"/>
    <w:rsid w:val="007B1E3F"/>
    <w:rsid w:val="007B7B0F"/>
    <w:rsid w:val="007C1376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56F6D"/>
    <w:rsid w:val="00870283"/>
    <w:rsid w:val="00871844"/>
    <w:rsid w:val="00874ADE"/>
    <w:rsid w:val="008768D7"/>
    <w:rsid w:val="00882259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23B8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4A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0979"/>
    <w:rsid w:val="009F0C29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3B1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6B6B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12FC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BCC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BF7093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6435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388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0B38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655C3"/>
    <w:rsid w:val="00E72105"/>
    <w:rsid w:val="00E80015"/>
    <w:rsid w:val="00E811CC"/>
    <w:rsid w:val="00E877F7"/>
    <w:rsid w:val="00E94FAD"/>
    <w:rsid w:val="00E96F7D"/>
    <w:rsid w:val="00EA0133"/>
    <w:rsid w:val="00EA3981"/>
    <w:rsid w:val="00EA5A20"/>
    <w:rsid w:val="00EB202F"/>
    <w:rsid w:val="00EB225C"/>
    <w:rsid w:val="00EB547A"/>
    <w:rsid w:val="00EB5EBE"/>
    <w:rsid w:val="00EB6CA2"/>
    <w:rsid w:val="00EC0E2B"/>
    <w:rsid w:val="00EC4A6A"/>
    <w:rsid w:val="00EC4E49"/>
    <w:rsid w:val="00EC7437"/>
    <w:rsid w:val="00EC7745"/>
    <w:rsid w:val="00ED63E0"/>
    <w:rsid w:val="00ED7EB8"/>
    <w:rsid w:val="00ED7F06"/>
    <w:rsid w:val="00EE31D4"/>
    <w:rsid w:val="00EE4241"/>
    <w:rsid w:val="00EF1896"/>
    <w:rsid w:val="00EF2A4E"/>
    <w:rsid w:val="00EF6AB2"/>
    <w:rsid w:val="00F0037C"/>
    <w:rsid w:val="00F01403"/>
    <w:rsid w:val="00F06E77"/>
    <w:rsid w:val="00F104E6"/>
    <w:rsid w:val="00F14AE8"/>
    <w:rsid w:val="00F2075C"/>
    <w:rsid w:val="00F2075D"/>
    <w:rsid w:val="00F25DF2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0E3D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075B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DC98E3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  <w:style w:type="paragraph" w:customStyle="1" w:styleId="paragraph">
    <w:name w:val="paragraph"/>
    <w:basedOn w:val="Normln"/>
    <w:rsid w:val="00611B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e0fb9b0-b993-473a-b020-0e26f7bcde7a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9569C3-047C-4F9C-AE63-EA8F9AC5B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2D70D-2870-4ECB-801A-FCA225E0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2473</Words>
  <Characters>14591</Characters>
  <Application>Microsoft Office Word</Application>
  <DocSecurity>4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2025-05-12T08:30:00Z</dcterms:created>
  <dcterms:modified xsi:type="dcterms:W3CDTF">2025-05-12T08:30:00Z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