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382/2025</w:t>
      </w:r>
    </w:p>
    <w:p>
      <w:pPr>
        <w:pStyle w:val="Style2"/>
        <w:keepNext w:val="0"/>
        <w:keepLines w:val="0"/>
        <w:widowControl w:val="0"/>
        <w:shd w:val="clear" w:color="auto" w:fill="auto"/>
        <w:bidi w:val="0"/>
        <w:spacing w:before="0" w:after="40" w:line="264"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887730</wp:posOffset>
                </wp:positionH>
                <wp:positionV relativeFrom="paragraph">
                  <wp:posOffset>571500</wp:posOffset>
                </wp:positionV>
                <wp:extent cx="1085215" cy="1112520"/>
                <wp:wrapSquare wrapText="bothSides"/>
                <wp:docPr id="1" name="Shape 1"/>
                <a:graphic xmlns:a="http://schemas.openxmlformats.org/drawingml/2006/main">
                  <a:graphicData uri="http://schemas.microsoft.com/office/word/2010/wordprocessingShape">
                    <wps:wsp>
                      <wps:cNvSpPr txBox="1"/>
                      <wps:spPr>
                        <a:xfrm>
                          <a:ext cx="1085215" cy="1112520"/>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00000000000006pt;margin-top:45.pt;width:85.450000000000003pt;height:87.60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Rožanský p., Šluknovský p. a Stříbrný p. v k. ú. Šluknov, Království a Císařský</w:t>
        <w:br/>
        <w:t>- sekání travních porostů 2025</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887730</wp:posOffset>
                </wp:positionH>
                <wp:positionV relativeFrom="paragraph">
                  <wp:posOffset>12700</wp:posOffset>
                </wp:positionV>
                <wp:extent cx="749935" cy="557530"/>
                <wp:wrapSquare wrapText="bothSides"/>
                <wp:docPr id="3" name="Shape 3"/>
                <a:graphic xmlns:a="http://schemas.openxmlformats.org/drawingml/2006/main">
                  <a:graphicData uri="http://schemas.microsoft.com/office/word/2010/wordprocessingShape">
                    <wps:wsp>
                      <wps:cNvSpPr txBox="1"/>
                      <wps:spPr>
                        <a:xfrm>
                          <a:ext cx="74993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wps:txbx>
                      <wps:bodyPr lIns="0" tIns="0" rIns="0" bIns="0">
                        <a:noAutoFit/>
                      </wps:bodyPr>
                    </wps:wsp>
                  </a:graphicData>
                </a:graphic>
              </wp:anchor>
            </w:drawing>
          </mc:Choice>
          <mc:Fallback>
            <w:pict>
              <v:shape id="_x0000_s1029" type="#_x0000_t202" style="position:absolute;margin-left:69.900000000000006pt;margin-top:1.pt;width:59.050000000000004pt;height:43.8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v:textbox>
                <w10:wrap type="square" anchorx="page"/>
              </v:shape>
            </w:pict>
          </mc:Fallback>
        </mc:AlternateContent>
      </w:r>
      <w:r>
        <w:rPr>
          <w:b/>
          <w:bCs/>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Vilémovská 247, 407 78 Velký Šenov</w:t>
      </w:r>
    </w:p>
    <w:p>
      <w:pPr>
        <w:pStyle w:val="Style2"/>
        <w:keepNext w:val="0"/>
        <w:keepLines w:val="0"/>
        <w:widowControl w:val="0"/>
        <w:shd w:val="clear" w:color="auto" w:fill="auto"/>
        <w:bidi w:val="0"/>
        <w:spacing w:before="0" w:after="320" w:line="240" w:lineRule="auto"/>
        <w:ind w:left="2340" w:right="0" w:firstLine="0"/>
        <w:jc w:val="left"/>
      </w:pPr>
      <w:r>
        <w:rPr>
          <w:color w:val="000000"/>
          <w:spacing w:val="0"/>
          <w:w w:val="100"/>
          <w:position w:val="0"/>
          <w:shd w:val="clear" w:color="auto" w:fill="auto"/>
          <w:lang w:val="cs-CZ" w:eastAsia="cs-CZ" w:bidi="cs-CZ"/>
        </w:rPr>
        <w:t>46045902</w:t>
      </w:r>
    </w:p>
    <w:p>
      <w:pPr>
        <w:pStyle w:val="Style2"/>
        <w:keepNext w:val="0"/>
        <w:keepLines w:val="0"/>
        <w:widowControl w:val="0"/>
        <w:shd w:val="clear" w:color="auto" w:fill="auto"/>
        <w:bidi w:val="0"/>
        <w:spacing w:before="0" w:after="554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320" w:line="240" w:lineRule="auto"/>
        <w:ind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Rožanský p., Šluknovský p. a Stříbrný p. v k. ú. Šluknov, Království a Císařský - sekání travních porostů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sekání travních porostů v průtočném profilu vodního toku (VT) Rožanský potok (ř. km 4,349-8,271), Šluknovský potok (ř. km 0,000-1,514) a Stříbrný potok (ř. km 0,360-2,000) na území města Šluknov.</w:t>
      </w:r>
      <w:bookmarkEnd w:id="11"/>
      <w:bookmarkEnd w:id="8"/>
      <w:bookmarkEnd w:id="9"/>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76" w:lineRule="auto"/>
        <w:ind w:left="800" w:right="0" w:hanging="2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ruderálních porostů (travní porosty, náletové dřeviny) v průtočném profilu VT na ploše 10000 m2</w:t>
      </w:r>
    </w:p>
    <w:p>
      <w:pPr>
        <w:pStyle w:val="Style2"/>
        <w:keepNext w:val="0"/>
        <w:keepLines w:val="0"/>
        <w:widowControl w:val="0"/>
        <w:shd w:val="clear" w:color="auto" w:fill="auto"/>
        <w:bidi w:val="0"/>
        <w:spacing w:before="0" w:after="140" w:line="276" w:lineRule="auto"/>
        <w:ind w:left="800" w:right="0" w:hanging="2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w:t>
      </w:r>
    </w:p>
    <w:p>
      <w:pPr>
        <w:pStyle w:val="Style2"/>
        <w:keepNext w:val="0"/>
        <w:keepLines w:val="0"/>
        <w:widowControl w:val="0"/>
        <w:shd w:val="clear" w:color="auto" w:fill="auto"/>
        <w:bidi w:val="0"/>
        <w:spacing w:before="0" w:after="0" w:line="240" w:lineRule="auto"/>
        <w:ind w:left="360" w:right="0" w:firstLine="20"/>
        <w:jc w:val="both"/>
      </w:pPr>
      <w:r>
        <w:rPr>
          <w:b/>
          <w:bCs/>
          <w:color w:val="000000"/>
          <w:spacing w:val="0"/>
          <w:w w:val="100"/>
          <w:position w:val="0"/>
          <w:shd w:val="clear" w:color="auto" w:fill="auto"/>
          <w:lang w:val="cs-CZ" w:eastAsia="cs-CZ" w:bidi="cs-CZ"/>
        </w:rPr>
        <w:t xml:space="preserve">Požadujeme provést jednu seč v kalendářním roce 2025 </w:t>
      </w:r>
      <w:r>
        <w:rPr>
          <w:color w:val="000000"/>
          <w:spacing w:val="0"/>
          <w:w w:val="100"/>
          <w:position w:val="0"/>
          <w:shd w:val="clear" w:color="auto" w:fill="auto"/>
          <w:lang w:val="cs-CZ" w:eastAsia="cs-CZ" w:bidi="cs-CZ"/>
        </w:rPr>
        <w:t>(červenec-srpen). Termín započetí seče bude upřesněn technickým dozorem investora (TDI).</w:t>
      </w:r>
    </w:p>
    <w:p>
      <w:pPr>
        <w:pStyle w:val="Style2"/>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Místo provádění díla:</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Koryta níže uvedených vodních toků:</w:t>
      </w:r>
    </w:p>
    <w:p>
      <w:pPr>
        <w:pStyle w:val="Style2"/>
        <w:keepNext w:val="0"/>
        <w:keepLines w:val="0"/>
        <w:widowControl w:val="0"/>
        <w:shd w:val="clear" w:color="auto" w:fill="auto"/>
        <w:bidi w:val="0"/>
        <w:spacing w:before="0" w:after="0" w:line="233"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Rožanský potok: od mostu u budovy č.p. 360, Šluknov - Království (51.0056953N, 14.4725214E), po most u budovy ev. č. 47, Šluknov - Království (50.9938186N, 14.5125250E)</w:t>
      </w:r>
    </w:p>
    <w:p>
      <w:pPr>
        <w:pStyle w:val="Style2"/>
        <w:keepNext w:val="0"/>
        <w:keepLines w:val="0"/>
        <w:widowControl w:val="0"/>
        <w:shd w:val="clear" w:color="auto" w:fill="auto"/>
        <w:bidi w:val="0"/>
        <w:spacing w:before="0" w:after="0" w:line="233"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Šluknovský potok: od soutoku se Stříbrným potokem ve Šluknově (51.0050478N, 14.4504881E), po most silnice II/266 u č.p. 115, Šluknov - Císařský (51.0030908N, 14.4309306E)</w:t>
      </w:r>
    </w:p>
    <w:p>
      <w:pPr>
        <w:pStyle w:val="Style2"/>
        <w:keepNext w:val="0"/>
        <w:keepLines w:val="0"/>
        <w:widowControl w:val="0"/>
        <w:shd w:val="clear" w:color="auto" w:fill="auto"/>
        <w:bidi w:val="0"/>
        <w:spacing w:before="0" w:line="230"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Stříbrný potok – od mostu k ČOV ve Šluknově (51.0089869N, 14.4588889E), po profil u budovy na adrese ……………. (51.0005097N, 14.4434578E).</w:t>
      </w:r>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2"/>
      <w:bookmarkEnd w:id="13"/>
      <w:bookmarkEnd w:id="15"/>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Za předmět díla se dále považuje:</w:t>
      </w:r>
      <w:bookmarkEnd w:id="16"/>
      <w:bookmarkEnd w:id="17"/>
      <w:bookmarkEnd w:id="19"/>
    </w:p>
    <w:p>
      <w:pPr>
        <w:pStyle w:val="Style12"/>
        <w:keepNext/>
        <w:keepLines/>
        <w:widowControl w:val="0"/>
        <w:numPr>
          <w:ilvl w:val="0"/>
          <w:numId w:val="3"/>
        </w:numPr>
        <w:shd w:val="clear" w:color="auto" w:fill="auto"/>
        <w:tabs>
          <w:tab w:pos="777" w:val="left"/>
        </w:tabs>
        <w:bidi w:val="0"/>
        <w:spacing w:before="0" w:after="0" w:line="240" w:lineRule="auto"/>
        <w:ind w:left="720" w:right="0" w:hanging="34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0"/>
      <w:bookmarkEnd w:id="21"/>
      <w:bookmarkEnd w:id="23"/>
    </w:p>
    <w:p>
      <w:pPr>
        <w:pStyle w:val="Style12"/>
        <w:keepNext/>
        <w:keepLines/>
        <w:widowControl w:val="0"/>
        <w:numPr>
          <w:ilvl w:val="0"/>
          <w:numId w:val="3"/>
        </w:numPr>
        <w:shd w:val="clear" w:color="auto" w:fill="auto"/>
        <w:tabs>
          <w:tab w:pos="786" w:val="left"/>
        </w:tabs>
        <w:bidi w:val="0"/>
        <w:spacing w:before="0" w:after="0" w:line="240" w:lineRule="auto"/>
        <w:ind w:left="720" w:right="0" w:hanging="34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zajištění povolení ke vstupu a vjezdu na pozemky (mimo pozemků ve vlastnictví objednatele),</w:t>
      </w:r>
      <w:bookmarkEnd w:id="24"/>
      <w:bookmarkEnd w:id="25"/>
      <w:bookmarkEnd w:id="27"/>
    </w:p>
    <w:p>
      <w:pPr>
        <w:pStyle w:val="Style12"/>
        <w:keepNext/>
        <w:keepLines/>
        <w:widowControl w:val="0"/>
        <w:numPr>
          <w:ilvl w:val="0"/>
          <w:numId w:val="3"/>
        </w:numPr>
        <w:shd w:val="clear" w:color="auto" w:fill="auto"/>
        <w:tabs>
          <w:tab w:pos="786" w:val="left"/>
        </w:tabs>
        <w:bidi w:val="0"/>
        <w:spacing w:before="0" w:after="0" w:line="240" w:lineRule="auto"/>
        <w:ind w:left="720" w:right="0" w:hanging="34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28"/>
      <w:bookmarkEnd w:id="29"/>
      <w:bookmarkEnd w:id="31"/>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zajištění povolení zvláštního užívání pozemní komunikace, bude-li potřeba,</w:t>
      </w:r>
      <w:bookmarkEnd w:id="32"/>
      <w:bookmarkEnd w:id="33"/>
      <w:bookmarkEnd w:id="35"/>
    </w:p>
    <w:p>
      <w:pPr>
        <w:pStyle w:val="Style12"/>
        <w:keepNext/>
        <w:keepLines/>
        <w:widowControl w:val="0"/>
        <w:numPr>
          <w:ilvl w:val="0"/>
          <w:numId w:val="3"/>
        </w:numPr>
        <w:shd w:val="clear" w:color="auto" w:fill="auto"/>
        <w:tabs>
          <w:tab w:pos="786" w:val="left"/>
        </w:tabs>
        <w:bidi w:val="0"/>
        <w:spacing w:before="0" w:after="0" w:line="240" w:lineRule="auto"/>
        <w:ind w:left="720" w:right="0" w:hanging="340"/>
        <w:jc w:val="both"/>
      </w:pPr>
      <w:bookmarkStart w:id="36" w:name="bookmark36"/>
      <w:bookmarkStart w:id="37" w:name="bookmark37"/>
      <w:bookmarkStart w:id="38" w:name="bookmark38"/>
      <w:bookmarkStart w:id="39" w:name="bookmark39"/>
      <w:bookmarkStart w:id="40" w:name="bookmark40"/>
      <w:bookmarkEnd w:id="38"/>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6"/>
      <w:bookmarkEnd w:id="37"/>
      <w:bookmarkEnd w:id="39"/>
      <w:bookmarkEnd w:id="40"/>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41" w:name="bookmark41"/>
      <w:bookmarkStart w:id="42" w:name="bookmark42"/>
      <w:bookmarkStart w:id="43" w:name="bookmark43"/>
      <w:bookmarkStart w:id="44" w:name="bookmark44"/>
      <w:bookmarkStart w:id="45" w:name="bookmark45"/>
      <w:bookmarkEnd w:id="43"/>
      <w:r>
        <w:rPr>
          <w:color w:val="000000"/>
          <w:spacing w:val="0"/>
          <w:w w:val="100"/>
          <w:position w:val="0"/>
          <w:shd w:val="clear" w:color="auto" w:fill="auto"/>
          <w:lang w:val="cs-CZ" w:eastAsia="cs-CZ" w:bidi="cs-CZ"/>
        </w:rPr>
        <w:t>zhotovitel zodpovídá za místo realizace díla i v době přerušení prací,</w:t>
      </w:r>
      <w:bookmarkEnd w:id="41"/>
      <w:bookmarkEnd w:id="42"/>
      <w:bookmarkEnd w:id="44"/>
      <w:bookmarkEnd w:id="45"/>
    </w:p>
    <w:p>
      <w:pPr>
        <w:pStyle w:val="Style2"/>
        <w:keepNext w:val="0"/>
        <w:keepLines w:val="0"/>
        <w:widowControl w:val="0"/>
        <w:numPr>
          <w:ilvl w:val="0"/>
          <w:numId w:val="3"/>
        </w:numPr>
        <w:shd w:val="clear" w:color="auto" w:fill="auto"/>
        <w:tabs>
          <w:tab w:pos="786" w:val="left"/>
        </w:tabs>
        <w:bidi w:val="0"/>
        <w:spacing w:before="0" w:line="240" w:lineRule="auto"/>
        <w:ind w:left="720" w:right="0" w:hanging="340"/>
        <w:jc w:val="both"/>
        <w:sectPr>
          <w:headerReference w:type="default" r:id="rId5"/>
          <w:footerReference w:type="default" r:id="rId6"/>
          <w:footnotePr>
            <w:pos w:val="pageBottom"/>
            <w:numFmt w:val="decimal"/>
            <w:numRestart w:val="continuous"/>
          </w:footnotePr>
          <w:pgSz w:w="11909" w:h="16838"/>
          <w:pgMar w:top="1135" w:left="1390" w:right="1388" w:bottom="1254" w:header="0" w:footer="3" w:gutter="0"/>
          <w:pgNumType w:start="1"/>
          <w:cols w:space="720"/>
          <w:noEndnote/>
          <w:rtlGutter w:val="0"/>
          <w:docGrid w:linePitch="360"/>
        </w:sectPr>
      </w:pPr>
      <w:bookmarkStart w:id="46" w:name="bookmark46"/>
      <w:bookmarkStart w:id="47" w:name="bookmark47"/>
      <w:bookmarkEnd w:id="46"/>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w:t>
      </w:r>
      <w:bookmarkEnd w:id="47"/>
    </w:p>
    <w:p>
      <w:pPr>
        <w:pStyle w:val="Style2"/>
        <w:keepNext w:val="0"/>
        <w:keepLines w:val="0"/>
        <w:widowControl w:val="0"/>
        <w:shd w:val="clear" w:color="auto" w:fill="auto"/>
        <w:bidi w:val="0"/>
        <w:spacing w:before="240" w:after="0" w:line="240" w:lineRule="auto"/>
        <w:ind w:left="720" w:right="0" w:firstLine="0"/>
        <w:jc w:val="both"/>
      </w:pPr>
      <w:r>
        <w:rPr>
          <w:color w:val="000000"/>
          <w:spacing w:val="0"/>
          <w:w w:val="100"/>
          <w:position w:val="0"/>
          <w:shd w:val="clear" w:color="auto" w:fill="auto"/>
          <w:lang w:val="cs-CZ" w:eastAsia="cs-CZ" w:bidi="cs-CZ"/>
        </w:rPr>
        <w:t>prováděných zhotovitelem i všemi podzhotoviteli, v souladu s § 101 odst. 3 zákona č. 262/2006 Sb., zákoník práce, ve znění pozdějších předpisů,</w:t>
      </w:r>
    </w:p>
    <w:p>
      <w:pPr>
        <w:pStyle w:val="Style12"/>
        <w:keepNext/>
        <w:keepLines/>
        <w:widowControl w:val="0"/>
        <w:numPr>
          <w:ilvl w:val="0"/>
          <w:numId w:val="3"/>
        </w:numPr>
        <w:shd w:val="clear" w:color="auto" w:fill="auto"/>
        <w:tabs>
          <w:tab w:pos="806" w:val="left"/>
        </w:tabs>
        <w:bidi w:val="0"/>
        <w:spacing w:before="0" w:after="0" w:line="240" w:lineRule="auto"/>
        <w:ind w:left="720" w:right="0" w:hanging="32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48"/>
      <w:bookmarkEnd w:id="49"/>
      <w:bookmarkEnd w:id="51"/>
    </w:p>
    <w:p>
      <w:pPr>
        <w:pStyle w:val="Style12"/>
        <w:keepNext/>
        <w:keepLines/>
        <w:widowControl w:val="0"/>
        <w:numPr>
          <w:ilvl w:val="0"/>
          <w:numId w:val="3"/>
        </w:numPr>
        <w:shd w:val="clear" w:color="auto" w:fill="auto"/>
        <w:tabs>
          <w:tab w:pos="806" w:val="left"/>
        </w:tabs>
        <w:bidi w:val="0"/>
        <w:spacing w:before="0" w:after="200" w:line="240" w:lineRule="auto"/>
        <w:ind w:left="720" w:right="0" w:hanging="32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2"/>
      <w:bookmarkEnd w:id="53"/>
      <w:bookmarkEnd w:id="55"/>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6"/>
      <w:bookmarkEnd w:id="57"/>
      <w:bookmarkEnd w:id="59"/>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0"/>
      <w:bookmarkEnd w:id="61"/>
      <w:bookmarkEnd w:id="63"/>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Objednatel předá zhotoviteli pracoviště (nebo jeho ucelenou část) prosté práv třetích osob.</w:t>
      </w:r>
      <w:bookmarkEnd w:id="64"/>
      <w:bookmarkEnd w:id="65"/>
      <w:bookmarkEnd w:id="67"/>
    </w:p>
    <w:p>
      <w:pPr>
        <w:pStyle w:val="Style12"/>
        <w:keepNext/>
        <w:keepLines/>
        <w:widowControl w:val="0"/>
        <w:shd w:val="clear" w:color="auto" w:fill="auto"/>
        <w:bidi w:val="0"/>
        <w:spacing w:before="0" w:after="200" w:line="240" w:lineRule="auto"/>
        <w:ind w:right="0" w:firstLine="4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68"/>
      <w:bookmarkEnd w:id="69"/>
      <w:bookmarkEnd w:id="70"/>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line="293" w:lineRule="auto"/>
        <w:ind w:left="360" w:right="0" w:hanging="360"/>
        <w:jc w:val="both"/>
      </w:pPr>
      <w:bookmarkStart w:id="71" w:name="bookmark71"/>
      <w:bookmarkEnd w:id="71"/>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72" w:name="bookmark72"/>
      <w:bookmarkEnd w:id="72"/>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3" w:name="bookmark73"/>
      <w:bookmarkEnd w:id="73"/>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 nejdříve však od 1.7.2025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4" w:name="bookmark74"/>
      <w:bookmarkEnd w:id="74"/>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Nejpozději do 29.08.2025</w:t>
      </w:r>
    </w:p>
    <w:p>
      <w:pPr>
        <w:pStyle w:val="Style2"/>
        <w:keepNext w:val="0"/>
        <w:keepLines w:val="0"/>
        <w:widowControl w:val="0"/>
        <w:numPr>
          <w:ilvl w:val="0"/>
          <w:numId w:val="7"/>
        </w:numPr>
        <w:shd w:val="clear" w:color="auto" w:fill="auto"/>
        <w:tabs>
          <w:tab w:pos="806" w:val="left"/>
        </w:tabs>
        <w:bidi w:val="0"/>
        <w:spacing w:before="0" w:line="240" w:lineRule="auto"/>
        <w:ind w:left="720" w:right="0" w:hanging="320"/>
        <w:jc w:val="both"/>
      </w:pPr>
      <w:bookmarkStart w:id="75" w:name="bookmark75"/>
      <w:bookmarkEnd w:id="75"/>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line="288" w:lineRule="auto"/>
        <w:ind w:left="360" w:right="0" w:hanging="360"/>
        <w:jc w:val="both"/>
      </w:pPr>
      <w:bookmarkStart w:id="76" w:name="bookmark76"/>
      <w:bookmarkEnd w:id="7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line="288" w:lineRule="auto"/>
        <w:ind w:left="360" w:right="0" w:hanging="360"/>
        <w:jc w:val="both"/>
      </w:pPr>
      <w:bookmarkStart w:id="77" w:name="bookmark77"/>
      <w:bookmarkEnd w:id="77"/>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line="288" w:lineRule="auto"/>
        <w:ind w:left="360" w:right="0" w:hanging="360"/>
        <w:jc w:val="both"/>
      </w:pPr>
      <w:bookmarkStart w:id="78" w:name="bookmark78"/>
      <w:bookmarkEnd w:id="78"/>
      <w:r>
        <w:rPr>
          <w:color w:val="000000"/>
          <w:spacing w:val="0"/>
          <w:w w:val="100"/>
          <w:position w:val="0"/>
          <w:shd w:val="clear" w:color="auto" w:fill="auto"/>
          <w:lang w:val="cs-CZ" w:eastAsia="cs-CZ" w:bidi="cs-CZ"/>
        </w:rPr>
        <w:t>Dílo bude dokončeno zhotovitelem a předáno objednateli písemně na základě zápisu o předání a převzetí.</w:t>
      </w:r>
      <w:r>
        <w:br w:type="page"/>
      </w:r>
    </w:p>
    <w:p>
      <w:pPr>
        <w:pStyle w:val="Style2"/>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60" w:val="left"/>
        </w:tabs>
        <w:bidi w:val="0"/>
        <w:spacing w:before="0" w:after="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widowControl w:val="0"/>
        <w:spacing w:line="1" w:lineRule="exact"/>
      </w:pPr>
      <w:r>
        <mc:AlternateContent>
          <mc:Choice Requires="wps">
            <w:drawing>
              <wp:anchor distT="101600" distB="0" distL="0" distR="0" simplePos="0" relativeHeight="125829382" behindDoc="0" locked="0" layoutInCell="1" allowOverlap="1">
                <wp:simplePos x="0" y="0"/>
                <wp:positionH relativeFrom="page">
                  <wp:posOffset>1111250</wp:posOffset>
                </wp:positionH>
                <wp:positionV relativeFrom="paragraph">
                  <wp:posOffset>101600</wp:posOffset>
                </wp:positionV>
                <wp:extent cx="704215" cy="237490"/>
                <wp:wrapTopAndBottom/>
                <wp:docPr id="9" name="Shape 9"/>
                <a:graphic xmlns:a="http://schemas.openxmlformats.org/drawingml/2006/main">
                  <a:graphicData uri="http://schemas.microsoft.com/office/word/2010/wordprocessingShape">
                    <wps:wsp>
                      <wps:cNvSpPr txBox="1"/>
                      <wps:spPr>
                        <a:xfrm>
                          <a:ext cx="70421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díla:</w:t>
                            </w:r>
                          </w:p>
                        </w:txbxContent>
                      </wps:txbx>
                      <wps:bodyPr wrap="none" lIns="0" tIns="0" rIns="0" bIns="0">
                        <a:noAutoFit/>
                      </wps:bodyPr>
                    </wps:wsp>
                  </a:graphicData>
                </a:graphic>
              </wp:anchor>
            </w:drawing>
          </mc:Choice>
          <mc:Fallback>
            <w:pict>
              <v:shape id="_x0000_s1035" type="#_x0000_t202" style="position:absolute;margin-left:87.5pt;margin-top:8.pt;width:55.450000000000003pt;height:18.699999999999999pt;z-index:-125829371;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díla:</w:t>
                      </w:r>
                    </w:p>
                  </w:txbxContent>
                </v:textbox>
                <w10:wrap type="topAndBottom" anchorx="page"/>
              </v:shape>
            </w:pict>
          </mc:Fallback>
        </mc:AlternateContent>
      </w:r>
      <w:r>
        <mc:AlternateContent>
          <mc:Choice Requires="wps">
            <w:drawing>
              <wp:anchor distT="101600" distB="0" distL="0" distR="0" simplePos="0" relativeHeight="125829384" behindDoc="0" locked="0" layoutInCell="1" allowOverlap="1">
                <wp:simplePos x="0" y="0"/>
                <wp:positionH relativeFrom="page">
                  <wp:posOffset>3180715</wp:posOffset>
                </wp:positionH>
                <wp:positionV relativeFrom="paragraph">
                  <wp:posOffset>101600</wp:posOffset>
                </wp:positionV>
                <wp:extent cx="1478280" cy="237490"/>
                <wp:wrapTopAndBottom/>
                <wp:docPr id="11" name="Shape 11"/>
                <a:graphic xmlns:a="http://schemas.openxmlformats.org/drawingml/2006/main">
                  <a:graphicData uri="http://schemas.microsoft.com/office/word/2010/wordprocessingShape">
                    <wps:wsp>
                      <wps:cNvSpPr txBox="1"/>
                      <wps:spPr>
                        <a:xfrm>
                          <a:ext cx="147828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71.300,00 Kč bez DPH</w:t>
                            </w:r>
                          </w:p>
                        </w:txbxContent>
                      </wps:txbx>
                      <wps:bodyPr wrap="none" lIns="0" tIns="0" rIns="0" bIns="0">
                        <a:noAutoFit/>
                      </wps:bodyPr>
                    </wps:wsp>
                  </a:graphicData>
                </a:graphic>
              </wp:anchor>
            </w:drawing>
          </mc:Choice>
          <mc:Fallback>
            <w:pict>
              <v:shape id="_x0000_s1037" type="#_x0000_t202" style="position:absolute;margin-left:250.45000000000002pt;margin-top:8.pt;width:116.40000000000001pt;height:18.699999999999999pt;z-index:-125829369;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71.300,00 Kč bez DPH</w:t>
                      </w:r>
                    </w:p>
                  </w:txbxContent>
                </v:textbox>
                <w10:wrap type="topAndBottom" anchorx="page"/>
              </v:shape>
            </w:pict>
          </mc:Fallback>
        </mc:AlternateConten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77" w:val="left"/>
        </w:tabs>
        <w:bidi w:val="0"/>
        <w:spacing w:before="0" w:after="18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77" w:val="left"/>
        </w:tabs>
        <w:bidi w:val="0"/>
        <w:spacing w:before="0" w:after="180" w:line="240" w:lineRule="auto"/>
        <w:ind w:left="0" w:right="0" w:firstLine="0"/>
        <w:jc w:val="both"/>
      </w:pPr>
      <w:bookmarkStart w:id="83" w:name="bookmark83"/>
      <w:bookmarkEnd w:id="83"/>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77" w:val="left"/>
        </w:tabs>
        <w:bidi w:val="0"/>
        <w:spacing w:before="0" w:after="6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 xml:space="preserve">Cena díla bude hrazena po dokončení, předání a převzetí díla bez vad a nedodělků. </w:t>
      </w:r>
      <w:r>
        <w:rPr>
          <w:b/>
          <w:bCs/>
          <w:color w:val="000000"/>
          <w:spacing w:val="0"/>
          <w:w w:val="100"/>
          <w:position w:val="0"/>
          <w:shd w:val="clear" w:color="auto" w:fill="auto"/>
          <w:lang w:val="cs-CZ" w:eastAsia="cs-CZ" w:bidi="cs-CZ"/>
        </w:rPr>
        <w:t>Fakturu je zhotovitel povinen prokazatelně doručit objednateli nejpozději do 7 pracovních dnů ode dne uskutečnění plnění.</w:t>
      </w:r>
    </w:p>
    <w:p>
      <w:pPr>
        <w:pStyle w:val="Style2"/>
        <w:keepNext w:val="0"/>
        <w:keepLines w:val="0"/>
        <w:widowControl w:val="0"/>
        <w:numPr>
          <w:ilvl w:val="0"/>
          <w:numId w:val="11"/>
        </w:numPr>
        <w:shd w:val="clear" w:color="auto" w:fill="auto"/>
        <w:tabs>
          <w:tab w:pos="377" w:val="left"/>
        </w:tabs>
        <w:bidi w:val="0"/>
        <w:spacing w:before="0" w:after="6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77" w:val="left"/>
        </w:tabs>
        <w:bidi w:val="0"/>
        <w:spacing w:before="0" w:after="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77" w:val="left"/>
        </w:tabs>
        <w:bidi w:val="0"/>
        <w:spacing w:before="0" w:after="18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77" w:val="left"/>
        </w:tabs>
        <w:bidi w:val="0"/>
        <w:spacing w:before="0" w:after="18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77" w:val="left"/>
        </w:tabs>
        <w:bidi w:val="0"/>
        <w:spacing w:before="0" w:after="18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500"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500" w:val="left"/>
        </w:tabs>
        <w:bidi w:val="0"/>
        <w:spacing w:before="0" w:after="40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5"/>
        </w:numPr>
        <w:shd w:val="clear" w:color="auto" w:fill="auto"/>
        <w:tabs>
          <w:tab w:pos="380" w:val="left"/>
        </w:tabs>
        <w:bidi w:val="0"/>
        <w:spacing w:before="0" w:after="0" w:line="240" w:lineRule="auto"/>
        <w:ind w:left="0" w:right="0" w:firstLine="0"/>
        <w:jc w:val="both"/>
      </w:pPr>
      <w:bookmarkStart w:id="101" w:name="bookmark101"/>
      <w:bookmarkEnd w:id="101"/>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56" w:val="left"/>
        </w:tabs>
        <w:bidi w:val="0"/>
        <w:spacing w:before="0" w:after="0" w:line="240" w:lineRule="auto"/>
        <w:ind w:left="0" w:right="0" w:firstLine="380"/>
        <w:jc w:val="both"/>
      </w:pPr>
      <w:bookmarkStart w:id="102" w:name="bookmark102"/>
      <w:bookmarkEnd w:id="102"/>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56" w:val="left"/>
        </w:tabs>
        <w:bidi w:val="0"/>
        <w:spacing w:before="0" w:line="240" w:lineRule="auto"/>
        <w:ind w:left="1020" w:right="0" w:hanging="620"/>
        <w:jc w:val="both"/>
        <w:sectPr>
          <w:headerReference w:type="default" r:id="rId7"/>
          <w:footerReference w:type="default" r:id="rId8"/>
          <w:headerReference w:type="first" r:id="rId9"/>
          <w:footerReference w:type="first" r:id="rId10"/>
          <w:footnotePr>
            <w:pos w:val="pageBottom"/>
            <w:numFmt w:val="decimal"/>
            <w:numRestart w:val="continuous"/>
          </w:footnotePr>
          <w:pgSz w:w="11909" w:h="16838"/>
          <w:pgMar w:top="1107" w:left="1392" w:right="1386" w:bottom="1351" w:header="0" w:footer="3" w:gutter="0"/>
          <w:cols w:space="720"/>
          <w:noEndnote/>
          <w:titlePg/>
          <w:rtlGutter w:val="0"/>
          <w:docGrid w:linePitch="360"/>
        </w:sectPr>
      </w:pPr>
      <w:bookmarkStart w:id="103" w:name="bookmark103"/>
      <w:bookmarkEnd w:id="10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shd w:val="clear" w:color="auto" w:fill="auto"/>
        <w:bidi w:val="0"/>
        <w:spacing w:before="0" w:after="0" w:line="240" w:lineRule="auto"/>
        <w:ind w:left="1020" w:right="0" w:hanging="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60" w:val="left"/>
        </w:tabs>
        <w:bidi w:val="0"/>
        <w:spacing w:before="0" w:after="6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sectPr>
          <w:headerReference w:type="default" r:id="rId11"/>
          <w:footerReference w:type="default" r:id="rId12"/>
          <w:footnotePr>
            <w:pos w:val="pageBottom"/>
            <w:numFmt w:val="decimal"/>
            <w:numRestart w:val="continuous"/>
          </w:footnotePr>
          <w:pgSz w:w="11909" w:h="16838"/>
          <w:pgMar w:top="1166" w:left="1394" w:right="1389" w:bottom="1785" w:header="0" w:footer="3" w:gutter="0"/>
          <w:cols w:space="720"/>
          <w:noEndnote/>
          <w:rtlGutter w:val="0"/>
          <w:docGrid w:linePitch="360"/>
        </w:sectPr>
      </w:pPr>
      <w:bookmarkStart w:id="109" w:name="bookmark109"/>
      <w:bookmarkEnd w:id="10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která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after="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13"/>
      <w:bookmarkEnd w:id="114"/>
      <w:bookmarkEnd w:id="116"/>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bezdůvodném přerušení prací zhotovitele, které trvá více než 14 dnů,</w:t>
      </w:r>
      <w:bookmarkEnd w:id="117"/>
      <w:bookmarkEnd w:id="118"/>
      <w:bookmarkEnd w:id="120"/>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21"/>
      <w:bookmarkEnd w:id="122"/>
      <w:bookmarkEnd w:id="124"/>
    </w:p>
    <w:p>
      <w:pPr>
        <w:pStyle w:val="Style12"/>
        <w:keepNext/>
        <w:keepLines/>
        <w:widowControl w:val="0"/>
        <w:numPr>
          <w:ilvl w:val="0"/>
          <w:numId w:val="25"/>
        </w:numPr>
        <w:shd w:val="clear" w:color="auto" w:fill="auto"/>
        <w:tabs>
          <w:tab w:pos="1376" w:val="left"/>
        </w:tabs>
        <w:bidi w:val="0"/>
        <w:spacing w:before="0" w:after="200" w:line="240" w:lineRule="auto"/>
        <w:ind w:left="0" w:right="0" w:firstLine="80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neplněním povinností zhotovitele vést řádně zápisy do stavebního deníku.</w:t>
      </w:r>
      <w:bookmarkEnd w:id="125"/>
      <w:bookmarkEnd w:id="126"/>
      <w:bookmarkEnd w:id="128"/>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8" w:val="left"/>
          <w:tab w:pos="2755" w:val="left"/>
          <w:tab w:pos="4896" w:val="left"/>
          <w:tab w:pos="6907" w:val="left"/>
          <w:tab w:pos="8722" w:val="left"/>
        </w:tabs>
        <w:bidi w:val="0"/>
        <w:spacing w:before="0" w:after="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6"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74" w:val="left"/>
        </w:tabs>
        <w:bidi w:val="0"/>
        <w:spacing w:before="0" w:after="18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74" w:val="left"/>
        </w:tabs>
        <w:bidi w:val="0"/>
        <w:spacing w:before="0" w:after="180" w:line="240" w:lineRule="auto"/>
        <w:ind w:left="0" w:right="0" w:firstLine="0"/>
        <w:jc w:val="left"/>
      </w:pPr>
      <w:bookmarkStart w:id="137" w:name="bookmark137"/>
      <w:bookmarkEnd w:id="137"/>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74" w:val="left"/>
        </w:tabs>
        <w:bidi w:val="0"/>
        <w:spacing w:before="0" w:after="180" w:line="240" w:lineRule="auto"/>
        <w:ind w:left="380" w:right="0" w:hanging="380"/>
        <w:jc w:val="left"/>
      </w:pPr>
      <w:bookmarkStart w:id="138" w:name="bookmark138"/>
      <w:bookmarkEnd w:id="13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74" w:val="left"/>
        </w:tabs>
        <w:bidi w:val="0"/>
        <w:spacing w:before="0" w:after="180" w:line="240" w:lineRule="auto"/>
        <w:ind w:left="380" w:right="0" w:hanging="380"/>
        <w:jc w:val="left"/>
      </w:pPr>
      <w:bookmarkStart w:id="139" w:name="bookmark139"/>
      <w:bookmarkEnd w:id="13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74" w:val="left"/>
        </w:tabs>
        <w:bidi w:val="0"/>
        <w:spacing w:before="0" w:after="0" w:line="240" w:lineRule="auto"/>
        <w:ind w:left="380" w:right="0" w:hanging="380"/>
        <w:jc w:val="left"/>
      </w:pPr>
      <w:bookmarkStart w:id="140" w:name="bookmark140"/>
      <w:bookmarkEnd w:id="14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left"/>
        <w:sectPr>
          <w:headerReference w:type="default" r:id="rId13"/>
          <w:footerReference w:type="default" r:id="rId14"/>
          <w:footnotePr>
            <w:pos w:val="pageBottom"/>
            <w:numFmt w:val="decimal"/>
            <w:numRestart w:val="continuous"/>
          </w:footnotePr>
          <w:pgSz w:w="11909" w:h="16838"/>
          <w:pgMar w:top="1110" w:left="1394" w:right="1389" w:bottom="1208"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11" w:left="0" w:right="0" w:bottom="141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11" w:left="1394" w:right="2335" w:bottom="1411" w:header="0" w:footer="3" w:gutter="0"/>
          <w:cols w:num="2" w:space="1901"/>
          <w:noEndnote/>
          <w:rtlGutter w:val="0"/>
          <w:docGrid w:linePitch="360"/>
        </w:sectPr>
      </w:pPr>
      <w:r>
        <w:rPr>
          <w:color w:val="000000"/>
          <w:spacing w:val="0"/>
          <w:w w:val="100"/>
          <w:position w:val="0"/>
          <w:shd w:val="clear" w:color="auto" w:fill="auto"/>
          <w:lang w:val="cs-CZ" w:eastAsia="cs-CZ" w:bidi="cs-CZ"/>
        </w:rPr>
        <w:t>Marek Klofáč</w:t>
      </w:r>
    </w:p>
    <w:sectPr>
      <w:footnotePr>
        <w:pos w:val="pageBottom"/>
        <w:numFmt w:val="decimal"/>
        <w:numRestart w:val="continuous"/>
      </w:footnotePr>
      <w:type w:val="continuous"/>
      <w:pgSz w:w="11909" w:h="16838"/>
      <w:pgMar w:top="1411" w:left="1394" w:right="2335" w:bottom="1411"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5993130</wp:posOffset>
              </wp:positionH>
              <wp:positionV relativeFrom="page">
                <wp:posOffset>9984105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33" type="#_x0000_t202" style="position:absolute;margin-left:471.90000000000003pt;margin-top:786.14999999999998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5993130</wp:posOffset>
              </wp:positionH>
              <wp:positionV relativeFrom="page">
                <wp:posOffset>9984105</wp:posOffset>
              </wp:positionV>
              <wp:extent cx="673735" cy="164465"/>
              <wp:wrapNone/>
              <wp:docPr id="15" name="Shape 15"/>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41" type="#_x0000_t202" style="position:absolute;margin-left:471.90000000000003pt;margin-top:786.14999999999998pt;width:53.050000000000004pt;height:12.950000000000001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3377565</wp:posOffset>
              </wp:positionH>
              <wp:positionV relativeFrom="page">
                <wp:posOffset>9820910</wp:posOffset>
              </wp:positionV>
              <wp:extent cx="807720" cy="201295"/>
              <wp:wrapNone/>
              <wp:docPr id="19" name="Shape 19"/>
              <a:graphic xmlns:a="http://schemas.openxmlformats.org/drawingml/2006/main">
                <a:graphicData uri="http://schemas.microsoft.com/office/word/2010/wordprocessingShape">
                  <wps:wsp>
                    <wps:cNvSpPr txBox="1"/>
                    <wps:spPr>
                      <a:xfrm>
                        <a:ext cx="80772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Čl. III. CENA</w:t>
                          </w:r>
                        </w:p>
                      </w:txbxContent>
                    </wps:txbx>
                    <wps:bodyPr wrap="none" lIns="0" tIns="0" rIns="0" bIns="0">
                      <a:spAutoFit/>
                    </wps:bodyPr>
                  </wps:wsp>
                </a:graphicData>
              </a:graphic>
            </wp:anchor>
          </w:drawing>
        </mc:Choice>
        <mc:Fallback>
          <w:pict>
            <v:shape id="_x0000_s1045" type="#_x0000_t202" style="position:absolute;margin-left:265.94999999999999pt;margin-top:773.30000000000007pt;width:63.600000000000001pt;height:15.85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Čl. III. CENA</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5989320</wp:posOffset>
              </wp:positionH>
              <wp:positionV relativeFrom="page">
                <wp:posOffset>10055860</wp:posOffset>
              </wp:positionV>
              <wp:extent cx="673735" cy="164465"/>
              <wp:wrapNone/>
              <wp:docPr id="21" name="Shape 21"/>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47" type="#_x0000_t202" style="position:absolute;margin-left:471.60000000000002pt;margin-top:791.80000000000007pt;width:53.050000000000004pt;height:12.950000000000001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2659380</wp:posOffset>
              </wp:positionH>
              <wp:positionV relativeFrom="page">
                <wp:posOffset>9558655</wp:posOffset>
              </wp:positionV>
              <wp:extent cx="2246630" cy="201295"/>
              <wp:wrapNone/>
              <wp:docPr id="25" name="Shape 25"/>
              <a:graphic xmlns:a="http://schemas.openxmlformats.org/drawingml/2006/main">
                <a:graphicData uri="http://schemas.microsoft.com/office/word/2010/wordprocessingShape">
                  <wps:wsp>
                    <wps:cNvSpPr txBox="1"/>
                    <wps:spPr>
                      <a:xfrm>
                        <a:ext cx="224663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Čl. IX. ZÁVĚREČNÁ USTANOVENÍ</w:t>
                          </w:r>
                        </w:p>
                      </w:txbxContent>
                    </wps:txbx>
                    <wps:bodyPr wrap="none" lIns="0" tIns="0" rIns="0" bIns="0">
                      <a:spAutoFit/>
                    </wps:bodyPr>
                  </wps:wsp>
                </a:graphicData>
              </a:graphic>
            </wp:anchor>
          </w:drawing>
        </mc:Choice>
        <mc:Fallback>
          <w:pict>
            <v:shape id="_x0000_s1051" type="#_x0000_t202" style="position:absolute;margin-left:209.40000000000001pt;margin-top:752.64999999999998pt;width:176.90000000000001pt;height:15.8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Čl. IX. ZÁVĚREČNÁ USTANOVENÍ</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5990590</wp:posOffset>
              </wp:positionH>
              <wp:positionV relativeFrom="page">
                <wp:posOffset>9951720</wp:posOffset>
              </wp:positionV>
              <wp:extent cx="673735" cy="164465"/>
              <wp:wrapNone/>
              <wp:docPr id="27" name="Shape 2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53" type="#_x0000_t202" style="position:absolute;margin-left:471.69999999999999pt;margin-top:783.60000000000002pt;width:53.050000000000004pt;height:12.950000000000001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5993130</wp:posOffset>
              </wp:positionH>
              <wp:positionV relativeFrom="page">
                <wp:posOffset>9984105</wp:posOffset>
              </wp:positionV>
              <wp:extent cx="673735" cy="164465"/>
              <wp:wrapNone/>
              <wp:docPr id="31" name="Shape 31"/>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57" type="#_x0000_t202" style="position:absolute;margin-left:471.90000000000003pt;margin-top:786.14999999999998pt;width:53.050000000000004pt;height:12.950000000000001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3365500</wp:posOffset>
              </wp:positionH>
              <wp:positionV relativeFrom="page">
                <wp:posOffset>403860</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5.pt;margin-top:31.80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3365500</wp:posOffset>
              </wp:positionH>
              <wp:positionV relativeFrom="page">
                <wp:posOffset>403860</wp:posOffset>
              </wp:positionV>
              <wp:extent cx="838200" cy="173990"/>
              <wp:wrapNone/>
              <wp:docPr id="13" name="Shape 13"/>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9" type="#_x0000_t202" style="position:absolute;margin-left:265.pt;margin-top:31.800000000000001pt;width:66.pt;height:13.70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3362325</wp:posOffset>
              </wp:positionH>
              <wp:positionV relativeFrom="page">
                <wp:posOffset>542925</wp:posOffset>
              </wp:positionV>
              <wp:extent cx="838200" cy="173990"/>
              <wp:wrapNone/>
              <wp:docPr id="17" name="Shape 17"/>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43" type="#_x0000_t202" style="position:absolute;margin-left:264.75pt;margin-top:42.75pt;width:66.pt;height:13.70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3362960</wp:posOffset>
              </wp:positionH>
              <wp:positionV relativeFrom="page">
                <wp:posOffset>438785</wp:posOffset>
              </wp:positionV>
              <wp:extent cx="838200" cy="173990"/>
              <wp:wrapNone/>
              <wp:docPr id="23" name="Shape 23"/>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49" type="#_x0000_t202" style="position:absolute;margin-left:264.80000000000001pt;margin-top:34.550000000000004pt;width:66.pt;height:13.700000000000001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3365500</wp:posOffset>
              </wp:positionH>
              <wp:positionV relativeFrom="page">
                <wp:posOffset>403860</wp:posOffset>
              </wp:positionV>
              <wp:extent cx="838200" cy="173990"/>
              <wp:wrapNone/>
              <wp:docPr id="29" name="Shape 2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55" type="#_x0000_t202" style="position:absolute;margin-left:265.pt;margin-top:31.800000000000001pt;width:66.pt;height:13.700000000000001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60" w:hanging="35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