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380/2025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Bukovinský potok v obci Velká Bukovina - sekání travních porostů</w:t>
        <w:br/>
        <w:t>2025</w:t>
      </w:r>
    </w:p>
    <w:p>
      <w:pPr>
        <w:pStyle w:val="Style12"/>
        <w:keepNext/>
        <w:keepLines/>
        <w:widowControl w:val="0"/>
        <w:shd w:val="clear" w:color="auto" w:fill="auto"/>
        <w:bidi w:val="0"/>
        <w:spacing w:before="0" w:after="300" w:line="240" w:lineRule="auto"/>
        <w:ind w:left="0" w:right="0" w:firstLine="0"/>
        <w:jc w:val="left"/>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40"/>
        <w:jc w:val="left"/>
      </w:pPr>
      <w:r>
        <mc:AlternateContent>
          <mc:Choice Requires="wps">
            <w:drawing>
              <wp:anchor distT="0" distB="0" distL="114300" distR="114300" simplePos="0" relativeHeight="125829378" behindDoc="0" locked="0" layoutInCell="1" allowOverlap="1">
                <wp:simplePos x="0" y="0"/>
                <wp:positionH relativeFrom="page">
                  <wp:posOffset>887730</wp:posOffset>
                </wp:positionH>
                <wp:positionV relativeFrom="paragraph">
                  <wp:posOffset>12700</wp:posOffset>
                </wp:positionV>
                <wp:extent cx="804545" cy="716280"/>
                <wp:wrapSquare wrapText="bothSides"/>
                <wp:docPr id="1" name="Shape 1"/>
                <a:graphic xmlns:a="http://schemas.openxmlformats.org/drawingml/2006/main">
                  <a:graphicData uri="http://schemas.microsoft.com/office/word/2010/wordprocessingShape">
                    <wps:wsp>
                      <wps:cNvSpPr txBox="1"/>
                      <wps:spPr>
                        <a:xfrm>
                          <a:ext cx="80454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00000000000006pt;margin-top:1.pt;width:63.350000000000001pt;height:56.3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4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887730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00000000000006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Vilémovská 247, 407 78 Velký Šenov</w:t>
      </w:r>
    </w:p>
    <w:p>
      <w:pPr>
        <w:pStyle w:val="Style2"/>
        <w:keepNext w:val="0"/>
        <w:keepLines w:val="0"/>
        <w:widowControl w:val="0"/>
        <w:shd w:val="clear" w:color="auto" w:fill="auto"/>
        <w:bidi w:val="0"/>
        <w:spacing w:before="0" w:after="300" w:line="240" w:lineRule="auto"/>
        <w:ind w:left="2340" w:right="0" w:firstLine="0"/>
        <w:jc w:val="left"/>
      </w:pPr>
      <w:r>
        <w:rPr>
          <w:color w:val="000000"/>
          <w:spacing w:val="0"/>
          <w:w w:val="100"/>
          <w:position w:val="0"/>
          <w:shd w:val="clear" w:color="auto" w:fill="auto"/>
          <w:lang w:val="cs-CZ" w:eastAsia="cs-CZ" w:bidi="cs-CZ"/>
        </w:rPr>
        <w:t>46045902</w:t>
      </w:r>
    </w:p>
    <w:p>
      <w:pPr>
        <w:pStyle w:val="Style2"/>
        <w:keepNext w:val="0"/>
        <w:keepLines w:val="0"/>
        <w:widowControl w:val="0"/>
        <w:shd w:val="clear" w:color="auto" w:fill="auto"/>
        <w:bidi w:val="0"/>
        <w:spacing w:before="0" w:after="59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Bukovinský potok v obci Velká Bukovina - sekání travních porostů 2025</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sekání travních porostů v průtočném profilu vodního toku (VT) Bukovinský potok v intravilánu obce Velká Bukovina (ř. km 0,800-2,365). Jedná se o tyto práce:</w:t>
      </w:r>
      <w:bookmarkEnd w:id="10"/>
      <w:bookmarkEnd w:id="11"/>
      <w:bookmarkEnd w:id="13"/>
    </w:p>
    <w:p>
      <w:pPr>
        <w:pStyle w:val="Style2"/>
        <w:keepNext w:val="0"/>
        <w:keepLines w:val="0"/>
        <w:widowControl w:val="0"/>
        <w:shd w:val="clear" w:color="auto" w:fill="auto"/>
        <w:bidi w:val="0"/>
        <w:spacing w:before="0" w:after="0" w:line="276" w:lineRule="auto"/>
        <w:ind w:left="9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v průtočném profilu VT na ploše 4400 m2 v rámci 1. seče.</w:t>
      </w:r>
    </w:p>
    <w:p>
      <w:pPr>
        <w:pStyle w:val="Style2"/>
        <w:keepNext w:val="0"/>
        <w:keepLines w:val="0"/>
        <w:widowControl w:val="0"/>
        <w:shd w:val="clear" w:color="auto" w:fill="auto"/>
        <w:bidi w:val="0"/>
        <w:spacing w:before="0" w:after="0" w:line="276" w:lineRule="auto"/>
        <w:ind w:left="9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v průtočném profilu VT na ploše 4400 m2 v rámci 2. seče.</w:t>
      </w:r>
    </w:p>
    <w:p>
      <w:pPr>
        <w:pStyle w:val="Style2"/>
        <w:keepNext w:val="0"/>
        <w:keepLines w:val="0"/>
        <w:widowControl w:val="0"/>
        <w:shd w:val="clear" w:color="auto" w:fill="auto"/>
        <w:bidi w:val="0"/>
        <w:spacing w:before="0" w:after="140" w:line="276" w:lineRule="auto"/>
        <w:ind w:left="9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 vždy v rámci každé seče.</w:t>
      </w:r>
    </w:p>
    <w:p>
      <w:pPr>
        <w:pStyle w:val="Style12"/>
        <w:keepNext/>
        <w:keepLines/>
        <w:widowControl w:val="0"/>
        <w:shd w:val="clear" w:color="auto" w:fill="auto"/>
        <w:bidi w:val="0"/>
        <w:spacing w:before="0" w:after="0" w:line="240" w:lineRule="auto"/>
        <w:ind w:right="0" w:firstLine="20"/>
        <w:jc w:val="both"/>
      </w:pPr>
      <w:bookmarkStart w:id="14" w:name="bookmark14"/>
      <w:bookmarkStart w:id="15" w:name="bookmark15"/>
      <w:bookmarkStart w:id="16" w:name="bookmark16"/>
      <w:r>
        <w:rPr>
          <w:b/>
          <w:bCs/>
          <w:color w:val="000000"/>
          <w:spacing w:val="0"/>
          <w:w w:val="100"/>
          <w:position w:val="0"/>
          <w:shd w:val="clear" w:color="auto" w:fill="auto"/>
          <w:lang w:val="cs-CZ" w:eastAsia="cs-CZ" w:bidi="cs-CZ"/>
        </w:rPr>
        <w:t xml:space="preserve">Požadujeme provést dvě seče v kalendářním roce 2025 </w:t>
      </w:r>
      <w:r>
        <w:rPr>
          <w:color w:val="000000"/>
          <w:spacing w:val="0"/>
          <w:w w:val="100"/>
          <w:position w:val="0"/>
          <w:shd w:val="clear" w:color="auto" w:fill="auto"/>
          <w:lang w:val="cs-CZ" w:eastAsia="cs-CZ" w:bidi="cs-CZ"/>
        </w:rPr>
        <w:t>(1. seč květen-červen a 2. seč srpen-září). Termín započetí jednotlivých sečí bude upřesněn technickým dozorem investora (TDI).</w:t>
      </w:r>
      <w:bookmarkEnd w:id="14"/>
      <w:bookmarkEnd w:id="15"/>
      <w:bookmarkEnd w:id="16"/>
    </w:p>
    <w:p>
      <w:pPr>
        <w:pStyle w:val="Style12"/>
        <w:keepNext/>
        <w:keepLines/>
        <w:widowControl w:val="0"/>
        <w:shd w:val="clear" w:color="auto" w:fill="auto"/>
        <w:bidi w:val="0"/>
        <w:spacing w:before="0" w:after="0" w:line="240" w:lineRule="auto"/>
        <w:ind w:right="0" w:firstLine="2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Posekané travní porosty budou průběžně vyhrabávány z průtočného profilu, odvezeny a zlikvidovány v souladu s příslušnými právními předpisy.</w:t>
      </w:r>
      <w:bookmarkEnd w:id="17"/>
      <w:bookmarkEnd w:id="18"/>
      <w:bookmarkEnd w:id="19"/>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Koryto vodního toku Bukovinský potok v obci Velká Bukovina v úseku v úseku od propustku u č.p. 144 (50.7281681N, 14.4004108E), po soutok s pravobřežním přítokem nad č. p. 74 (50.7350014N, 14.3830650E) – viz příloha č. 2 – Situace. Jedná se o tyto pozemky ve správě Povodí Ohře, státní podnik:</w:t>
      </w:r>
    </w:p>
    <w:p>
      <w:pPr>
        <w:pStyle w:val="Style2"/>
        <w:keepNext w:val="0"/>
        <w:keepLines w:val="0"/>
        <w:widowControl w:val="0"/>
        <w:shd w:val="clear" w:color="auto" w:fill="auto"/>
        <w:bidi w:val="0"/>
        <w:spacing w:before="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Velká Bukovina – p. p. č. 2824/2 a 2825</w:t>
      </w:r>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20"/>
      <w:bookmarkEnd w:id="21"/>
      <w:bookmarkEnd w:id="23"/>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 předmět díla se dále považuje:</w:t>
      </w:r>
      <w:bookmarkEnd w:id="24"/>
      <w:bookmarkEnd w:id="25"/>
      <w:bookmarkEnd w:id="27"/>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8"/>
      <w:bookmarkEnd w:id="29"/>
      <w:bookmarkEnd w:id="31"/>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ke vstupu a vjezdu na pozemky (mimo pozemků ve vlastnictví objednatele),</w:t>
      </w:r>
      <w:bookmarkEnd w:id="32"/>
      <w:bookmarkEnd w:id="33"/>
      <w:bookmarkEnd w:id="35"/>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6"/>
      <w:bookmarkEnd w:id="37"/>
      <w:bookmarkEnd w:id="39"/>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left"/>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zajištění povolení zvláštního užívání pozemní komunikace, bude-li potřeba,</w:t>
      </w:r>
      <w:bookmarkEnd w:id="40"/>
      <w:bookmarkEnd w:id="41"/>
      <w:bookmarkEnd w:id="4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4"/>
      <w:bookmarkEnd w:id="45"/>
      <w:bookmarkEnd w:id="47"/>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left"/>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zhotovitel zodpovídá za místo realizace díla i v době přerušení prací,</w:t>
      </w:r>
      <w:bookmarkEnd w:id="48"/>
      <w:bookmarkEnd w:id="49"/>
      <w:bookmarkEnd w:id="51"/>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2"/>
      <w:bookmarkEnd w:id="53"/>
      <w:bookmarkEnd w:id="55"/>
    </w:p>
    <w:p>
      <w:pPr>
        <w:pStyle w:val="Style2"/>
        <w:keepNext w:val="0"/>
        <w:keepLines w:val="0"/>
        <w:widowControl w:val="0"/>
        <w:numPr>
          <w:ilvl w:val="0"/>
          <w:numId w:val="3"/>
        </w:numPr>
        <w:shd w:val="clear" w:color="auto" w:fill="auto"/>
        <w:tabs>
          <w:tab w:pos="786" w:val="left"/>
        </w:tabs>
        <w:bidi w:val="0"/>
        <w:spacing w:before="0" w:line="240" w:lineRule="auto"/>
        <w:ind w:left="720" w:right="0" w:hanging="340"/>
        <w:jc w:val="both"/>
        <w:sectPr>
          <w:headerReference w:type="default" r:id="rId5"/>
          <w:footerReference w:type="default" r:id="rId6"/>
          <w:footnotePr>
            <w:pos w:val="pageBottom"/>
            <w:numFmt w:val="decimal"/>
            <w:numRestart w:val="continuous"/>
          </w:footnotePr>
          <w:pgSz w:w="11909" w:h="16838"/>
          <w:pgMar w:top="1100" w:left="1390" w:right="1388" w:bottom="1208" w:header="0" w:footer="3" w:gutter="0"/>
          <w:pgNumType w:start="1"/>
          <w:cols w:space="720"/>
          <w:noEndnote/>
          <w:rtlGutter w:val="0"/>
          <w:docGrid w:linePitch="360"/>
        </w:sectPr>
      </w:pPr>
      <w:bookmarkStart w:id="56" w:name="bookmark56"/>
      <w:bookmarkStart w:id="57" w:name="bookmark57"/>
      <w:bookmarkEnd w:id="5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57"/>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734" w:val="left"/>
        </w:tabs>
        <w:bidi w:val="0"/>
        <w:spacing w:before="0" w:after="200" w:line="240" w:lineRule="auto"/>
        <w:ind w:left="720" w:right="0" w:hanging="32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8"/>
      <w:bookmarkEnd w:id="59"/>
      <w:bookmarkEnd w:id="61"/>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2"/>
      <w:bookmarkEnd w:id="63"/>
      <w:bookmarkEnd w:id="65"/>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6"/>
      <w:bookmarkEnd w:id="67"/>
      <w:bookmarkEnd w:id="69"/>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Objednatel předá zhotoviteli pracoviště (nebo jeho ucelenou část) prosté práv třetích osob.</w:t>
      </w:r>
      <w:bookmarkEnd w:id="70"/>
      <w:bookmarkEnd w:id="71"/>
      <w:bookmarkEnd w:id="73"/>
    </w:p>
    <w:p>
      <w:pPr>
        <w:pStyle w:val="Style12"/>
        <w:keepNext/>
        <w:keepLines/>
        <w:widowControl w:val="0"/>
        <w:shd w:val="clear" w:color="auto" w:fill="auto"/>
        <w:bidi w:val="0"/>
        <w:spacing w:before="0" w:after="200" w:line="240" w:lineRule="auto"/>
        <w:ind w:right="0" w:firstLine="4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4"/>
      <w:bookmarkEnd w:id="75"/>
      <w:bookmarkEnd w:id="76"/>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200" w:line="293" w:lineRule="auto"/>
        <w:ind w:left="360" w:right="0" w:hanging="360"/>
        <w:jc w:val="both"/>
      </w:pPr>
      <w:bookmarkStart w:id="77" w:name="bookmark77"/>
      <w:bookmarkEnd w:id="77"/>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2" w:val="left"/>
        </w:tabs>
        <w:bidi w:val="0"/>
        <w:spacing w:before="0" w:after="0" w:line="240" w:lineRule="auto"/>
        <w:ind w:left="0" w:right="0" w:firstLine="360"/>
        <w:jc w:val="both"/>
      </w:pPr>
      <w:bookmarkStart w:id="78" w:name="bookmark78"/>
      <w:bookmarkEnd w:id="78"/>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79" w:name="bookmark79"/>
      <w:bookmarkEnd w:id="79"/>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80" w:name="bookmark80"/>
      <w:bookmarkEnd w:id="80"/>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30.6.2025</w:t>
      </w:r>
    </w:p>
    <w:p>
      <w:pPr>
        <w:pStyle w:val="Style2"/>
        <w:keepNext w:val="0"/>
        <w:keepLines w:val="0"/>
        <w:widowControl w:val="0"/>
        <w:numPr>
          <w:ilvl w:val="0"/>
          <w:numId w:val="7"/>
        </w:numPr>
        <w:shd w:val="clear" w:color="auto" w:fill="auto"/>
        <w:tabs>
          <w:tab w:pos="766" w:val="left"/>
        </w:tabs>
        <w:bidi w:val="0"/>
        <w:spacing w:before="0" w:after="0" w:line="240" w:lineRule="auto"/>
        <w:ind w:left="0" w:right="0" w:firstLine="360"/>
        <w:jc w:val="both"/>
      </w:pPr>
      <w:bookmarkStart w:id="81" w:name="bookmark81"/>
      <w:bookmarkEnd w:id="81"/>
      <w:r>
        <w:rPr>
          <w:b/>
          <w:bCs/>
          <w:color w:val="000000"/>
          <w:spacing w:val="0"/>
          <w:w w:val="100"/>
          <w:position w:val="0"/>
          <w:shd w:val="clear" w:color="auto" w:fill="auto"/>
          <w:lang w:val="cs-CZ" w:eastAsia="cs-CZ" w:bidi="cs-CZ"/>
        </w:rPr>
        <w:t>předání a převzetí dokončeného díla včetně 2.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30.09.2025</w:t>
      </w:r>
    </w:p>
    <w:p>
      <w:pPr>
        <w:pStyle w:val="Style2"/>
        <w:keepNext w:val="0"/>
        <w:keepLines w:val="0"/>
        <w:widowControl w:val="0"/>
        <w:numPr>
          <w:ilvl w:val="0"/>
          <w:numId w:val="7"/>
        </w:numPr>
        <w:shd w:val="clear" w:color="auto" w:fill="auto"/>
        <w:tabs>
          <w:tab w:pos="806" w:val="left"/>
        </w:tabs>
        <w:bidi w:val="0"/>
        <w:spacing w:before="0" w:after="200" w:line="240" w:lineRule="auto"/>
        <w:ind w:left="720" w:right="0" w:hanging="320"/>
        <w:jc w:val="both"/>
      </w:pPr>
      <w:bookmarkStart w:id="82" w:name="bookmark82"/>
      <w:bookmarkEnd w:id="82"/>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both"/>
      </w:pPr>
      <w:bookmarkStart w:id="83" w:name="bookmark83"/>
      <w:bookmarkEnd w:id="8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83" w:lineRule="auto"/>
        <w:ind w:left="360" w:right="0" w:hanging="360"/>
        <w:jc w:val="both"/>
      </w:pPr>
      <w:r>
        <mc:AlternateContent>
          <mc:Choice Requires="wps">
            <w:drawing>
              <wp:anchor distT="0" distB="0" distL="63500" distR="63500" simplePos="0" relativeHeight="125829382" behindDoc="0" locked="0" layoutInCell="1" allowOverlap="1">
                <wp:simplePos x="0" y="0"/>
                <wp:positionH relativeFrom="page">
                  <wp:posOffset>885190</wp:posOffset>
                </wp:positionH>
                <wp:positionV relativeFrom="paragraph">
                  <wp:posOffset>533400</wp:posOffset>
                </wp:positionV>
                <wp:extent cx="152400" cy="234950"/>
                <wp:wrapSquare wrapText="bothSides"/>
                <wp:docPr id="9" name="Shape 9"/>
                <a:graphic xmlns:a="http://schemas.openxmlformats.org/drawingml/2006/main">
                  <a:graphicData uri="http://schemas.microsoft.com/office/word/2010/wordprocessingShape">
                    <wps:wsp>
                      <wps:cNvSpPr txBox="1"/>
                      <wps:spPr>
                        <a:xfrm>
                          <a:ext cx="15240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w:t>
                            </w:r>
                          </w:p>
                        </w:txbxContent>
                      </wps:txbx>
                      <wps:bodyPr wrap="none" lIns="0" tIns="0" rIns="0" bIns="0">
                        <a:noAutoFit/>
                      </wps:bodyPr>
                    </wps:wsp>
                  </a:graphicData>
                </a:graphic>
              </wp:anchor>
            </w:drawing>
          </mc:Choice>
          <mc:Fallback>
            <w:pict>
              <v:shape id="_x0000_s1035" type="#_x0000_t202" style="position:absolute;margin-left:69.700000000000003pt;margin-top:42.pt;width:12.pt;height:18.5pt;z-index:-125829371;mso-wrap-distance-left:5.pt;mso-wrap-distance-right: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w:t>
                      </w:r>
                    </w:p>
                  </w:txbxContent>
                </v:textbox>
                <w10:wrap type="square" anchorx="page"/>
              </v:shape>
            </w:pict>
          </mc:Fallback>
        </mc:AlternateContent>
      </w:r>
      <w:bookmarkStart w:id="84" w:name="bookmark84"/>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shd w:val="clear" w:color="auto" w:fill="auto"/>
        <w:bidi w:val="0"/>
        <w:spacing w:before="0" w:after="460" w:line="293" w:lineRule="auto"/>
        <w:ind w:left="0" w:right="0" w:firstLine="0"/>
        <w:jc w:val="both"/>
      </w:pPr>
      <w:r>
        <mc:AlternateContent>
          <mc:Choice Requires="wps">
            <w:drawing>
              <wp:anchor distT="0" distB="0" distL="114300" distR="114300" simplePos="0" relativeHeight="125829384" behindDoc="0" locked="0" layoutInCell="1" allowOverlap="1">
                <wp:simplePos x="0" y="0"/>
                <wp:positionH relativeFrom="page">
                  <wp:posOffset>3360420</wp:posOffset>
                </wp:positionH>
                <wp:positionV relativeFrom="paragraph">
                  <wp:posOffset>368300</wp:posOffset>
                </wp:positionV>
                <wp:extent cx="844550" cy="237490"/>
                <wp:wrapSquare wrapText="left"/>
                <wp:docPr id="11" name="Shape 11"/>
                <a:graphic xmlns:a="http://schemas.openxmlformats.org/drawingml/2006/main">
                  <a:graphicData uri="http://schemas.microsoft.com/office/word/2010/wordprocessingShape">
                    <wps:wsp>
                      <wps:cNvSpPr txBox="1"/>
                      <wps:spPr>
                        <a:xfrm>
                          <a:ext cx="84455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 III. CENA</w:t>
                            </w:r>
                          </w:p>
                        </w:txbxContent>
                      </wps:txbx>
                      <wps:bodyPr wrap="none" lIns="0" tIns="0" rIns="0" bIns="0">
                        <a:noAutoFit/>
                      </wps:bodyPr>
                    </wps:wsp>
                  </a:graphicData>
                </a:graphic>
              </wp:anchor>
            </w:drawing>
          </mc:Choice>
          <mc:Fallback>
            <w:pict>
              <v:shape id="_x0000_s1037" type="#_x0000_t202" style="position:absolute;margin-left:264.60000000000002pt;margin-top:29.pt;width:66.5pt;height:18.699999999999999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 III. CENA</w:t>
                      </w:r>
                    </w:p>
                  </w:txbxContent>
                </v:textbox>
                <w10:wrap type="square" side="left" anchorx="page"/>
              </v:shape>
            </w:pict>
          </mc:Fallback>
        </mc:AlternateContent>
      </w:r>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numPr>
          <w:ilvl w:val="0"/>
          <w:numId w:val="9"/>
        </w:numPr>
        <w:shd w:val="clear" w:color="auto" w:fill="auto"/>
        <w:tabs>
          <w:tab w:pos="382" w:val="left"/>
        </w:tabs>
        <w:bidi w:val="0"/>
        <w:spacing w:before="0" w:after="200" w:line="271" w:lineRule="auto"/>
        <w:ind w:left="0" w:right="0" w:firstLine="0"/>
        <w:jc w:val="right"/>
        <w:rPr>
          <w:sz w:val="18"/>
          <w:szCs w:val="18"/>
        </w:rPr>
        <w:sectPr>
          <w:headerReference w:type="default" r:id="rId7"/>
          <w:footerReference w:type="default" r:id="rId8"/>
          <w:footnotePr>
            <w:pos w:val="pageBottom"/>
            <w:numFmt w:val="decimal"/>
            <w:numRestart w:val="continuous"/>
          </w:footnotePr>
          <w:pgSz w:w="11909" w:h="16838"/>
          <w:pgMar w:top="1166" w:left="1394" w:right="1384" w:bottom="878" w:header="0" w:footer="450" w:gutter="0"/>
          <w:cols w:space="720"/>
          <w:noEndnote/>
          <w:rtlGutter w:val="0"/>
          <w:docGrid w:linePitch="360"/>
        </w:sectPr>
      </w:pPr>
      <w:bookmarkStart w:id="85" w:name="bookmark85"/>
      <w:bookmarkEnd w:id="85"/>
      <w:r>
        <w:rPr>
          <w:color w:val="000000"/>
          <w:spacing w:val="0"/>
          <w:w w:val="100"/>
          <w:position w:val="0"/>
          <w:sz w:val="22"/>
          <w:szCs w:val="22"/>
          <w:shd w:val="clear" w:color="auto" w:fill="auto"/>
          <w:lang w:val="cs-CZ" w:eastAsia="cs-CZ" w:bidi="cs-CZ"/>
        </w:rPr>
        <w:t xml:space="preserve">Cena za dílo je stanovená jako nejvýše přípustná smluvní cena z výběrového řízení v souladu s platným zněním zákona č. 526/1990 Sb., platná po dobu realizace díla, t.j. až </w:t>
      </w:r>
      <w:r>
        <w:rPr>
          <w:color w:val="000000"/>
          <w:spacing w:val="0"/>
          <w:w w:val="100"/>
          <w:position w:val="0"/>
          <w:sz w:val="18"/>
          <w:szCs w:val="18"/>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3 </w:t>
      </w:r>
      <w:r>
        <w:rPr>
          <w:color w:val="000000"/>
          <w:spacing w:val="0"/>
          <w:w w:val="100"/>
          <w:position w:val="0"/>
          <w:sz w:val="18"/>
          <w:szCs w:val="18"/>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9</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6" behindDoc="0" locked="0" layoutInCell="1" allowOverlap="1">
                <wp:simplePos x="0" y="0"/>
                <wp:positionH relativeFrom="page">
                  <wp:posOffset>1110615</wp:posOffset>
                </wp:positionH>
                <wp:positionV relativeFrom="paragraph">
                  <wp:posOffset>101600</wp:posOffset>
                </wp:positionV>
                <wp:extent cx="1295400" cy="758825"/>
                <wp:wrapTopAndBottom/>
                <wp:docPr id="15" name="Shape 15"/>
                <a:graphic xmlns:a="http://schemas.openxmlformats.org/drawingml/2006/main">
                  <a:graphicData uri="http://schemas.microsoft.com/office/word/2010/wordprocessingShape">
                    <wps:wsp>
                      <wps:cNvSpPr txBox="1"/>
                      <wps:spPr>
                        <a:xfrm>
                          <a:ext cx="1295400" cy="758825"/>
                        </a:xfrm>
                        <a:prstGeom prst="rect"/>
                        <a:noFill/>
                      </wps:spPr>
                      <wps:txbx>
                        <w:txbxContent>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xml:space="preserve">Dílčí cena za 2. seč: </w:t>
                            </w:r>
                            <w:r>
                              <w:rPr>
                                <w:b/>
                                <w:bCs/>
                                <w:color w:val="000000"/>
                                <w:spacing w:val="0"/>
                                <w:w w:val="100"/>
                                <w:position w:val="0"/>
                                <w:shd w:val="clear" w:color="auto" w:fill="auto"/>
                                <w:lang w:val="cs-CZ" w:eastAsia="cs-CZ" w:bidi="cs-CZ"/>
                              </w:rPr>
                              <w:t>Cena díla celkem:</w:t>
                            </w:r>
                          </w:p>
                        </w:txbxContent>
                      </wps:txbx>
                      <wps:bodyPr lIns="0" tIns="0" rIns="0" bIns="0">
                        <a:noAutoFit/>
                      </wps:bodyPr>
                    </wps:wsp>
                  </a:graphicData>
                </a:graphic>
              </wp:anchor>
            </w:drawing>
          </mc:Choice>
          <mc:Fallback>
            <w:pict>
              <v:shape id="_x0000_s1041" type="#_x0000_t202" style="position:absolute;margin-left:87.450000000000003pt;margin-top:8.pt;width:102.pt;height:59.75pt;z-index:-125829367;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xml:space="preserve">Dílčí cena za 2. seč: </w:t>
                      </w:r>
                      <w:r>
                        <w:rPr>
                          <w:b/>
                          <w:bCs/>
                          <w:color w:val="000000"/>
                          <w:spacing w:val="0"/>
                          <w:w w:val="100"/>
                          <w:position w:val="0"/>
                          <w:shd w:val="clear" w:color="auto" w:fill="auto"/>
                          <w:lang w:val="cs-CZ" w:eastAsia="cs-CZ" w:bidi="cs-CZ"/>
                        </w:rPr>
                        <w:t>Cena díla celkem:</w:t>
                      </w:r>
                    </w:p>
                  </w:txbxContent>
                </v:textbox>
                <w10:wrap type="topAndBottom" anchorx="page"/>
              </v:shape>
            </w:pict>
          </mc:Fallback>
        </mc:AlternateContent>
      </w:r>
      <w:r>
        <mc:AlternateContent>
          <mc:Choice Requires="wps">
            <w:drawing>
              <wp:anchor distT="101600" distB="51435" distL="0" distR="0" simplePos="0" relativeHeight="125829388" behindDoc="0" locked="0" layoutInCell="1" allowOverlap="1">
                <wp:simplePos x="0" y="0"/>
                <wp:positionH relativeFrom="page">
                  <wp:posOffset>3628390</wp:posOffset>
                </wp:positionH>
                <wp:positionV relativeFrom="paragraph">
                  <wp:posOffset>101600</wp:posOffset>
                </wp:positionV>
                <wp:extent cx="1487170" cy="707390"/>
                <wp:wrapTopAndBottom/>
                <wp:docPr id="17" name="Shape 17"/>
                <a:graphic xmlns:a="http://schemas.openxmlformats.org/drawingml/2006/main">
                  <a:graphicData uri="http://schemas.microsoft.com/office/word/2010/wordprocessingShape">
                    <wps:wsp>
                      <wps:cNvSpPr txBox="1"/>
                      <wps:spPr>
                        <a:xfrm>
                          <a:ext cx="1487170" cy="707390"/>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28.640,00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28.640,00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57.280,00 Kč bez DPH</w:t>
                            </w:r>
                          </w:p>
                        </w:txbxContent>
                      </wps:txbx>
                      <wps:bodyPr lIns="0" tIns="0" rIns="0" bIns="0">
                        <a:noAutoFit/>
                      </wps:bodyPr>
                    </wps:wsp>
                  </a:graphicData>
                </a:graphic>
              </wp:anchor>
            </w:drawing>
          </mc:Choice>
          <mc:Fallback>
            <w:pict>
              <v:shape id="_x0000_s1043" type="#_x0000_t202" style="position:absolute;margin-left:285.69999999999999pt;margin-top:8.pt;width:117.10000000000001pt;height:55.700000000000003pt;z-index:-125829365;mso-wrap-distance-left:0;mso-wrap-distance-top:8.pt;mso-wrap-distance-right:0;mso-wrap-distance-bottom:4.0499999999999998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28.640,00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28.640,00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57.280,00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6" w:val="left"/>
        </w:tabs>
        <w:bidi w:val="0"/>
        <w:spacing w:before="0" w:after="20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6" w:val="left"/>
        </w:tabs>
        <w:bidi w:val="0"/>
        <w:spacing w:before="0" w:after="20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6" w:val="left"/>
        </w:tabs>
        <w:bidi w:val="0"/>
        <w:spacing w:before="0" w:after="6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6" w:val="left"/>
        </w:tabs>
        <w:bidi w:val="0"/>
        <w:spacing w:before="0" w:after="6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92" w:name="bookmark92"/>
      <w:bookmarkEnd w:id="92"/>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30.6.2025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93" w:name="bookmark93"/>
      <w:bookmarkEnd w:id="93"/>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6" w:val="left"/>
        </w:tabs>
        <w:bidi w:val="0"/>
        <w:spacing w:before="0" w:after="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2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0" w:val="left"/>
        </w:tabs>
        <w:bidi w:val="0"/>
        <w:spacing w:before="0" w:after="200" w:line="240" w:lineRule="auto"/>
        <w:ind w:left="0" w:right="0" w:firstLine="0"/>
        <w:jc w:val="both"/>
      </w:pPr>
      <w:bookmarkStart w:id="96" w:name="bookmark96"/>
      <w:bookmarkEnd w:id="9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bude zhotovitel v prodlení proti dílčímu termínu předání a převzetí dokončené části díla (1. seče) sjednaného dle čl. II. odst. 1. písm. c) této smlouvy, je povinen zaplatit objednateli smluvní pokutu ve výši 0,2 % z celkové ceny díla bez DPH dle čl. III. této smlouvy za každý i započatý kalendářní den prodlení, až do dne podpisu zápisu o předání a převzetí dokončené části díla (1. seče).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63" w:val="left"/>
        </w:tabs>
        <w:bidi w:val="0"/>
        <w:spacing w:before="0" w:after="20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63" w:val="left"/>
        </w:tabs>
        <w:bidi w:val="0"/>
        <w:spacing w:before="0" w:after="2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70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10" w:name="bookmark110"/>
      <w:bookmarkEnd w:id="11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86" w:val="left"/>
        </w:tabs>
        <w:bidi w:val="0"/>
        <w:spacing w:before="0" w:after="0" w:line="240" w:lineRule="auto"/>
        <w:ind w:left="0" w:right="0" w:firstLine="380"/>
        <w:jc w:val="both"/>
      </w:pPr>
      <w:bookmarkStart w:id="111" w:name="bookmark111"/>
      <w:bookmarkEnd w:id="11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12" w:name="bookmark112"/>
      <w:bookmarkEnd w:id="11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13" w:name="bookmark113"/>
      <w:bookmarkEnd w:id="11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23"/>
      <w:bookmarkEnd w:id="124"/>
      <w:bookmarkEnd w:id="126"/>
    </w:p>
    <w:p>
      <w:pPr>
        <w:pStyle w:val="Style12"/>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bezdůvodném přerušení prací zhotovitele, které trvá více než 14 dnů,</w:t>
      </w:r>
      <w:bookmarkEnd w:id="127"/>
      <w:bookmarkEnd w:id="128"/>
      <w:bookmarkEnd w:id="130"/>
    </w:p>
    <w:p>
      <w:pPr>
        <w:pStyle w:val="Style12"/>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31"/>
      <w:bookmarkEnd w:id="132"/>
      <w:bookmarkEnd w:id="134"/>
    </w:p>
    <w:p>
      <w:pPr>
        <w:pStyle w:val="Style12"/>
        <w:keepNext/>
        <w:keepLines/>
        <w:widowControl w:val="0"/>
        <w:numPr>
          <w:ilvl w:val="0"/>
          <w:numId w:val="25"/>
        </w:numPr>
        <w:shd w:val="clear" w:color="auto" w:fill="auto"/>
        <w:tabs>
          <w:tab w:pos="1376" w:val="left"/>
        </w:tabs>
        <w:bidi w:val="0"/>
        <w:spacing w:before="0" w:after="180" w:line="240" w:lineRule="auto"/>
        <w:ind w:left="0" w:right="0" w:firstLine="80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neplněním povinností zhotovitele vést řádně zápisy do stavebního deníku.</w:t>
      </w:r>
      <w:bookmarkEnd w:id="135"/>
      <w:bookmarkEnd w:id="136"/>
      <w:bookmarkEnd w:id="138"/>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bidi w:val="0"/>
        <w:spacing w:before="0" w:after="2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47" w:name="bookmark147"/>
      <w:bookmarkEnd w:id="14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headerReference w:type="default" r:id="rId9"/>
          <w:footerReference w:type="default" r:id="rId10"/>
          <w:footnotePr>
            <w:pos w:val="pageBottom"/>
            <w:numFmt w:val="decimal"/>
            <w:numRestart w:val="continuous"/>
          </w:footnotePr>
          <w:pgSz w:w="11909" w:h="16838"/>
          <w:pgMar w:top="1073" w:left="1394" w:right="1389" w:bottom="1245"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Marek Klofáč</w:t>
      </w:r>
    </w:p>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9981565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5.95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5990590</wp:posOffset>
              </wp:positionH>
              <wp:positionV relativeFrom="page">
                <wp:posOffset>9981565</wp:posOffset>
              </wp:positionV>
              <wp:extent cx="673735" cy="164465"/>
              <wp:wrapNone/>
              <wp:docPr id="21" name="Shape 2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47" type="#_x0000_t202" style="position:absolute;margin-left:471.69999999999999pt;margin-top:785.95000000000005pt;width:53.050000000000004pt;height:12.9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382905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0.150000000000002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438785</wp:posOffset>
              </wp:positionV>
              <wp:extent cx="838200" cy="173990"/>
              <wp:wrapNone/>
              <wp:docPr id="13" name="Shape 13"/>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264.80000000000001pt;margin-top:34.550000000000004pt;width:66.pt;height:13.7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3362960</wp:posOffset>
              </wp:positionH>
              <wp:positionV relativeFrom="page">
                <wp:posOffset>382905</wp:posOffset>
              </wp:positionV>
              <wp:extent cx="838200" cy="173990"/>
              <wp:wrapNone/>
              <wp:docPr id="19" name="Shape 1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5" type="#_x0000_t202" style="position:absolute;margin-left:264.80000000000001pt;margin-top:30.150000000000002pt;width:66.pt;height:13.70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60" w:hanging="34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