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AB1D" w14:textId="77777777" w:rsidR="00ED0EF3" w:rsidRDefault="00C72A71">
      <w:pPr>
        <w:keepNext/>
        <w:keepLines/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14:paraId="76C25E7C" w14:textId="77777777" w:rsidR="00ED0EF3" w:rsidRDefault="00C72A71">
      <w:pPr>
        <w:keepNext/>
        <w:keepLines/>
        <w:spacing w:before="120"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</w:t>
      </w:r>
      <w:bookmarkStart w:id="0" w:name="_Hlk166229015"/>
      <w:r>
        <w:rPr>
          <w:rFonts w:ascii="Arial" w:hAnsi="Arial" w:cs="Arial"/>
          <w:b/>
          <w:sz w:val="28"/>
          <w:szCs w:val="28"/>
        </w:rPr>
        <w:t>SMLOUVĚ O ZAJIŠTĚNÍ MEDIÁLNÍHO PROSTORU</w:t>
      </w:r>
    </w:p>
    <w:bookmarkEnd w:id="0"/>
    <w:p w14:paraId="19AFAAEB" w14:textId="77777777" w:rsidR="00ED0EF3" w:rsidRDefault="00ED0EF3">
      <w:pPr>
        <w:spacing w:after="0" w:line="280" w:lineRule="atLeast"/>
        <w:jc w:val="center"/>
        <w:rPr>
          <w:rFonts w:ascii="Arial" w:hAnsi="Arial" w:cs="Arial"/>
          <w:sz w:val="28"/>
          <w:szCs w:val="28"/>
        </w:rPr>
      </w:pPr>
    </w:p>
    <w:p w14:paraId="033CB432" w14:textId="77777777" w:rsidR="00ED0EF3" w:rsidRDefault="00ED0EF3">
      <w:pPr>
        <w:spacing w:after="0" w:line="280" w:lineRule="atLeast"/>
        <w:jc w:val="center"/>
        <w:rPr>
          <w:rFonts w:ascii="Arial" w:hAnsi="Arial" w:cs="Arial"/>
          <w:sz w:val="20"/>
          <w:szCs w:val="20"/>
        </w:rPr>
      </w:pPr>
    </w:p>
    <w:p w14:paraId="4AD985D4" w14:textId="77777777" w:rsidR="00ED0EF3" w:rsidRDefault="00C72A71">
      <w:pPr>
        <w:spacing w:after="0"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15F0018B" w14:textId="77777777" w:rsidR="00ED0EF3" w:rsidRDefault="00ED0EF3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3377EEB7" w14:textId="77777777" w:rsidR="00ED0EF3" w:rsidRDefault="00C72A71">
      <w:pPr>
        <w:widowControl w:val="0"/>
        <w:tabs>
          <w:tab w:val="left" w:pos="284"/>
        </w:tabs>
        <w:spacing w:before="120" w:after="120"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14:paraId="1B0DA552" w14:textId="77777777" w:rsidR="00ED0EF3" w:rsidRDefault="00C72A71">
      <w:pPr>
        <w:widowControl w:val="0"/>
        <w:tabs>
          <w:tab w:val="left" w:pos="1843"/>
        </w:tabs>
        <w:spacing w:before="120" w:after="120"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sídlem: Na Poříčním právu 376/1, 128 00 Praha 2</w:t>
      </w:r>
    </w:p>
    <w:p w14:paraId="758BEF29" w14:textId="77777777" w:rsidR="00ED0EF3" w:rsidRDefault="00C72A71">
      <w:pPr>
        <w:widowControl w:val="0"/>
        <w:tabs>
          <w:tab w:val="left" w:pos="1843"/>
        </w:tabs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00551023, není plátcem DPH</w:t>
      </w:r>
    </w:p>
    <w:p w14:paraId="1462F6D3" w14:textId="1BA0C947" w:rsidR="00ED0EF3" w:rsidRDefault="00C72A71">
      <w:pPr>
        <w:widowControl w:val="0"/>
        <w:tabs>
          <w:tab w:val="left" w:pos="1843"/>
        </w:tabs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bankovního účtu: </w:t>
      </w:r>
      <w:r w:rsidR="00641BB9" w:rsidRPr="00641BB9">
        <w:rPr>
          <w:rFonts w:ascii="Arial" w:eastAsia="SimSun" w:hAnsi="Arial" w:cs="Arial"/>
          <w:i/>
          <w:iCs/>
          <w:color w:val="000000"/>
          <w:sz w:val="20"/>
          <w:szCs w:val="20"/>
        </w:rPr>
        <w:t>neveřejný údaj</w:t>
      </w:r>
    </w:p>
    <w:p w14:paraId="33A3CB1A" w14:textId="77777777" w:rsidR="00ED0EF3" w:rsidRDefault="00C72A71">
      <w:pPr>
        <w:widowControl w:val="0"/>
        <w:tabs>
          <w:tab w:val="left" w:pos="1843"/>
        </w:tabs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color w:val="000000"/>
          <w:sz w:val="20"/>
          <w:szCs w:val="20"/>
        </w:rPr>
        <w:t>ID datové schránky:</w:t>
      </w:r>
      <w:r>
        <w:rPr>
          <w:rFonts w:ascii="Arial" w:eastAsia="SimSun" w:hAnsi="Arial" w:cs="Arial"/>
          <w:color w:val="000000"/>
          <w:sz w:val="20"/>
          <w:szCs w:val="20"/>
        </w:rPr>
        <w:tab/>
        <w:t>sc9aavg</w:t>
      </w:r>
    </w:p>
    <w:p w14:paraId="2DB3851B" w14:textId="07DCCEC5" w:rsidR="00ED0EF3" w:rsidRDefault="00C72A71">
      <w:pPr>
        <w:widowControl w:val="0"/>
        <w:tabs>
          <w:tab w:val="left" w:pos="1843"/>
        </w:tabs>
        <w:spacing w:before="120" w:after="120" w:line="280" w:lineRule="atLeast"/>
        <w:ind w:left="1843" w:hanging="18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r w:rsidR="00641BB9" w:rsidRPr="00641BB9">
        <w:rPr>
          <w:rFonts w:ascii="Arial" w:eastAsia="SimSun" w:hAnsi="Arial" w:cs="Arial"/>
          <w:i/>
          <w:iCs/>
          <w:color w:val="000000"/>
          <w:sz w:val="20"/>
          <w:szCs w:val="20"/>
        </w:rPr>
        <w:t>neveřejný údaj</w:t>
      </w:r>
    </w:p>
    <w:p w14:paraId="5B061C6C" w14:textId="77777777" w:rsidR="00ED0EF3" w:rsidRDefault="00C72A71">
      <w:pPr>
        <w:widowControl w:val="0"/>
        <w:tabs>
          <w:tab w:val="left" w:pos="284"/>
        </w:tabs>
        <w:spacing w:before="120" w:after="120"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</w:t>
      </w:r>
      <w:r>
        <w:rPr>
          <w:rFonts w:ascii="Arial" w:hAnsi="Arial" w:cs="Arial"/>
          <w:b/>
          <w:sz w:val="20"/>
          <w:szCs w:val="20"/>
        </w:rPr>
        <w:t xml:space="preserve"> „Objednatel</w:t>
      </w:r>
      <w:r>
        <w:rPr>
          <w:rFonts w:ascii="Arial" w:hAnsi="Arial" w:cs="Arial"/>
          <w:bCs/>
          <w:sz w:val="20"/>
          <w:szCs w:val="20"/>
        </w:rPr>
        <w:t>” či „</w:t>
      </w:r>
      <w:r>
        <w:rPr>
          <w:rFonts w:ascii="Arial" w:hAnsi="Arial" w:cs="Arial"/>
          <w:b/>
          <w:sz w:val="20"/>
          <w:szCs w:val="20"/>
        </w:rPr>
        <w:t>MPSV</w:t>
      </w:r>
      <w:r>
        <w:rPr>
          <w:rFonts w:ascii="Arial" w:hAnsi="Arial" w:cs="Arial"/>
          <w:bCs/>
          <w:sz w:val="20"/>
          <w:szCs w:val="20"/>
        </w:rPr>
        <w:t>“)</w:t>
      </w:r>
    </w:p>
    <w:p w14:paraId="147D3D3E" w14:textId="77777777" w:rsidR="00ED0EF3" w:rsidRDefault="00ED0EF3">
      <w:pPr>
        <w:widowControl w:val="0"/>
        <w:tabs>
          <w:tab w:val="left" w:pos="284"/>
        </w:tabs>
        <w:spacing w:before="120" w:after="120" w:line="280" w:lineRule="atLeast"/>
        <w:rPr>
          <w:rFonts w:ascii="Arial" w:hAnsi="Arial" w:cs="Arial"/>
          <w:sz w:val="20"/>
          <w:szCs w:val="20"/>
        </w:rPr>
      </w:pPr>
    </w:p>
    <w:p w14:paraId="23A33D7B" w14:textId="77777777" w:rsidR="00ED0EF3" w:rsidRDefault="00C72A71">
      <w:pPr>
        <w:widowControl w:val="0"/>
        <w:tabs>
          <w:tab w:val="left" w:pos="284"/>
        </w:tabs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87A55E0" w14:textId="77777777" w:rsidR="00ED0EF3" w:rsidRDefault="00ED0EF3">
      <w:pPr>
        <w:widowControl w:val="0"/>
        <w:spacing w:before="120" w:after="120" w:line="280" w:lineRule="atLeast"/>
        <w:rPr>
          <w:rFonts w:ascii="Arial" w:hAnsi="Arial" w:cs="Arial"/>
          <w:sz w:val="20"/>
          <w:szCs w:val="20"/>
        </w:rPr>
      </w:pPr>
    </w:p>
    <w:p w14:paraId="183D4313" w14:textId="77777777" w:rsidR="00ED0EF3" w:rsidRDefault="00C72A71">
      <w:pPr>
        <w:spacing w:before="120" w:after="120"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REMMARK, a.s.</w:t>
      </w:r>
    </w:p>
    <w:p w14:paraId="0142FB6F" w14:textId="77777777" w:rsidR="00ED0EF3" w:rsidRDefault="00C72A71">
      <w:pPr>
        <w:tabs>
          <w:tab w:val="left" w:pos="1843"/>
        </w:tabs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sídlem: Křemencova 178, 110 00 – Praha 1</w:t>
      </w:r>
    </w:p>
    <w:p w14:paraId="01B48867" w14:textId="77777777" w:rsidR="00ED0EF3" w:rsidRDefault="00C72A71">
      <w:pPr>
        <w:tabs>
          <w:tab w:val="left" w:pos="1843"/>
        </w:tabs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25652869, DIČ: CZ25652869</w:t>
      </w:r>
    </w:p>
    <w:p w14:paraId="05E177F1" w14:textId="77777777" w:rsidR="00ED0EF3" w:rsidRDefault="00C72A71">
      <w:pPr>
        <w:tabs>
          <w:tab w:val="left" w:pos="1843"/>
        </w:tabs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 v OR: B 5258 vedená u Městského soudu v Praze</w:t>
      </w:r>
    </w:p>
    <w:p w14:paraId="35C31115" w14:textId="226B525B" w:rsidR="00ED0EF3" w:rsidRDefault="00C72A71">
      <w:pPr>
        <w:tabs>
          <w:tab w:val="left" w:pos="1843"/>
        </w:tabs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bankovního účtu: </w:t>
      </w:r>
      <w:r w:rsidR="00641BB9" w:rsidRPr="00641BB9">
        <w:rPr>
          <w:rFonts w:ascii="Arial" w:eastAsia="SimSun" w:hAnsi="Arial" w:cs="Arial"/>
          <w:i/>
          <w:iCs/>
          <w:color w:val="000000"/>
          <w:sz w:val="20"/>
          <w:szCs w:val="20"/>
        </w:rPr>
        <w:t>neveřejný údaj</w:t>
      </w:r>
    </w:p>
    <w:p w14:paraId="17732A7F" w14:textId="77777777" w:rsidR="00ED0EF3" w:rsidRDefault="00C72A71">
      <w:pPr>
        <w:tabs>
          <w:tab w:val="left" w:pos="1843"/>
        </w:tabs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datové schránky: p96fzzi</w:t>
      </w:r>
    </w:p>
    <w:p w14:paraId="3831F8AB" w14:textId="77777777" w:rsidR="00ED0EF3" w:rsidRDefault="00C72A71">
      <w:pPr>
        <w:tabs>
          <w:tab w:val="left" w:pos="1843"/>
        </w:tabs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Ing. Romanem Heřmanem, předsedou správní rady</w:t>
      </w:r>
    </w:p>
    <w:p w14:paraId="701D8A3D" w14:textId="77777777" w:rsidR="00ED0EF3" w:rsidRDefault="00C72A71">
      <w:pPr>
        <w:widowControl w:val="0"/>
        <w:spacing w:before="12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“)</w:t>
      </w:r>
    </w:p>
    <w:p w14:paraId="384D495C" w14:textId="77777777" w:rsidR="00ED0EF3" w:rsidRDefault="00C72A71">
      <w:pPr>
        <w:widowControl w:val="0"/>
        <w:spacing w:before="24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Dodavatel společně též jako „</w:t>
      </w:r>
      <w:r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a/nebo jednotlivě jako „</w:t>
      </w:r>
      <w:r>
        <w:rPr>
          <w:rFonts w:ascii="Arial" w:hAnsi="Arial" w:cs="Arial"/>
          <w:b/>
          <w:bCs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08042A5D" w14:textId="77777777" w:rsidR="00ED0EF3" w:rsidRDefault="00ED0EF3">
      <w:pPr>
        <w:widowControl w:val="0"/>
        <w:spacing w:after="0" w:line="280" w:lineRule="atLeast"/>
        <w:contextualSpacing/>
        <w:rPr>
          <w:rFonts w:ascii="Arial" w:hAnsi="Arial" w:cs="Arial"/>
          <w:sz w:val="20"/>
          <w:szCs w:val="20"/>
        </w:rPr>
      </w:pPr>
    </w:p>
    <w:p w14:paraId="22D9E065" w14:textId="77777777" w:rsidR="00ED0EF3" w:rsidRDefault="00ED0EF3">
      <w:pPr>
        <w:pStyle w:val="Default"/>
        <w:spacing w:line="280" w:lineRule="atLeast"/>
        <w:jc w:val="center"/>
        <w:rPr>
          <w:color w:val="auto"/>
          <w:sz w:val="20"/>
          <w:szCs w:val="20"/>
        </w:rPr>
      </w:pPr>
    </w:p>
    <w:p w14:paraId="1B82356C" w14:textId="77777777" w:rsidR="00ED0EF3" w:rsidRDefault="00C72A71">
      <w:pPr>
        <w:pStyle w:val="Default"/>
        <w:spacing w:line="280" w:lineRule="atLeast"/>
        <w:jc w:val="center"/>
        <w:rPr>
          <w:sz w:val="20"/>
          <w:szCs w:val="20"/>
        </w:rPr>
      </w:pPr>
      <w:r>
        <w:rPr>
          <w:color w:val="auto"/>
          <w:sz w:val="20"/>
          <w:szCs w:val="20"/>
        </w:rPr>
        <w:t>níže uvedeného dne, měsíce a roku uzavřely v souladu s ustanovením § 1746 odst. 2 zákona</w:t>
      </w:r>
      <w:r>
        <w:rPr>
          <w:color w:val="auto"/>
          <w:sz w:val="20"/>
          <w:szCs w:val="20"/>
        </w:rPr>
        <w:br/>
        <w:t>č. 89/2012 Sb., občanský zákoník, ve znění pozdějších předpisů (dále jen „</w:t>
      </w:r>
      <w:r>
        <w:rPr>
          <w:b/>
          <w:bCs/>
          <w:color w:val="auto"/>
          <w:sz w:val="20"/>
          <w:szCs w:val="20"/>
        </w:rPr>
        <w:t>Občanský zákoník</w:t>
      </w:r>
      <w:r>
        <w:rPr>
          <w:color w:val="auto"/>
          <w:sz w:val="20"/>
          <w:szCs w:val="20"/>
        </w:rPr>
        <w:t>“)</w:t>
      </w:r>
      <w:r>
        <w:rPr>
          <w:color w:val="auto"/>
          <w:sz w:val="20"/>
          <w:szCs w:val="20"/>
        </w:rPr>
        <w:br/>
        <w:t xml:space="preserve">tento Dodatek č. 1 ke Smlouvě o zajištění mediálního prostoru </w:t>
      </w:r>
      <w:r>
        <w:rPr>
          <w:sz w:val="20"/>
          <w:szCs w:val="20"/>
        </w:rPr>
        <w:t>(dále jen „</w:t>
      </w:r>
      <w:r>
        <w:rPr>
          <w:b/>
          <w:bCs/>
          <w:sz w:val="20"/>
          <w:szCs w:val="20"/>
        </w:rPr>
        <w:t>Dodatek č. 1</w:t>
      </w:r>
      <w:r>
        <w:rPr>
          <w:sz w:val="20"/>
          <w:szCs w:val="20"/>
        </w:rPr>
        <w:t>“)</w:t>
      </w:r>
    </w:p>
    <w:p w14:paraId="6D482295" w14:textId="77777777" w:rsidR="00ED0EF3" w:rsidRDefault="00ED0EF3">
      <w:pPr>
        <w:widowControl w:val="0"/>
        <w:spacing w:after="0" w:line="280" w:lineRule="atLeast"/>
        <w:contextualSpacing/>
        <w:rPr>
          <w:rFonts w:ascii="Arial" w:hAnsi="Arial" w:cs="Arial"/>
          <w:sz w:val="20"/>
          <w:szCs w:val="20"/>
        </w:rPr>
      </w:pPr>
    </w:p>
    <w:p w14:paraId="1A084AFD" w14:textId="77777777" w:rsidR="00ED0EF3" w:rsidRDefault="00C72A71">
      <w:pPr>
        <w:keepNext/>
        <w:spacing w:after="0" w:line="280" w:lineRule="atLeast"/>
        <w:jc w:val="center"/>
        <w:rPr>
          <w:rFonts w:ascii="Arial" w:hAnsi="Arial" w:cs="Arial"/>
          <w:b/>
          <w:bCs/>
          <w:kern w:val="32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</w:rPr>
        <w:t>Smluvní strany, vědomy si svých závazků v tomto Dodatku č. 1 obsažených a s úmyslem být tímto Dodatkem č. 1 vázány, dohodly se na následujícím znění tohoto Dodatku č. 1:</w:t>
      </w:r>
    </w:p>
    <w:p w14:paraId="1D52777E" w14:textId="77777777" w:rsidR="00C72A71" w:rsidRDefault="00C72A71">
      <w:pPr>
        <w:rPr>
          <w:rFonts w:ascii="Arial" w:hAnsi="Arial"/>
          <w:b/>
          <w:bCs/>
          <w:kern w:val="32"/>
          <w:sz w:val="20"/>
          <w:szCs w:val="20"/>
          <w:lang w:eastAsia="cs-CZ"/>
        </w:rPr>
      </w:pPr>
      <w:r>
        <w:rPr>
          <w:rFonts w:ascii="Arial" w:hAnsi="Arial"/>
          <w:b/>
          <w:bCs/>
          <w:kern w:val="32"/>
          <w:sz w:val="20"/>
          <w:szCs w:val="20"/>
          <w:lang w:eastAsia="cs-CZ"/>
        </w:rPr>
        <w:br w:type="page"/>
      </w:r>
    </w:p>
    <w:p w14:paraId="4B317BA4" w14:textId="72756938" w:rsidR="00ED0EF3" w:rsidRPr="00F20F68" w:rsidRDefault="00C72A71">
      <w:pPr>
        <w:pStyle w:val="Odstavecseseznamem"/>
        <w:widowControl w:val="0"/>
        <w:numPr>
          <w:ilvl w:val="0"/>
          <w:numId w:val="2"/>
        </w:numPr>
        <w:spacing w:before="480" w:after="120" w:line="280" w:lineRule="atLeast"/>
        <w:ind w:left="0" w:hanging="505"/>
        <w:contextualSpacing w:val="0"/>
        <w:jc w:val="center"/>
        <w:rPr>
          <w:rFonts w:ascii="Arial" w:hAnsi="Arial"/>
          <w:b/>
          <w:bCs/>
          <w:kern w:val="32"/>
          <w:sz w:val="20"/>
          <w:szCs w:val="20"/>
          <w:lang w:eastAsia="cs-CZ"/>
        </w:rPr>
      </w:pPr>
      <w:r w:rsidRPr="00F20F68">
        <w:rPr>
          <w:rFonts w:ascii="Arial" w:hAnsi="Arial"/>
          <w:b/>
          <w:bCs/>
          <w:kern w:val="32"/>
          <w:sz w:val="20"/>
          <w:szCs w:val="20"/>
          <w:lang w:eastAsia="cs-CZ"/>
        </w:rPr>
        <w:lastRenderedPageBreak/>
        <w:t>Úvodní ustanovení</w:t>
      </w:r>
    </w:p>
    <w:p w14:paraId="4461111A" w14:textId="77777777" w:rsidR="00ED0EF3" w:rsidRDefault="00C72A71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 xml:space="preserve">Smluvní strany na základě výsledku veřejné zakázky s názvem </w:t>
      </w:r>
      <w:r>
        <w:rPr>
          <w:rFonts w:cs="Arial"/>
          <w:b w:val="0"/>
          <w:iCs/>
          <w:sz w:val="20"/>
          <w:szCs w:val="20"/>
        </w:rPr>
        <w:t>„Revize dávek, digitalizace</w:t>
      </w:r>
      <w:r>
        <w:rPr>
          <w:rFonts w:cs="Arial"/>
          <w:b w:val="0"/>
          <w:iCs/>
          <w:sz w:val="20"/>
          <w:szCs w:val="20"/>
        </w:rPr>
        <w:br/>
        <w:t>a důchodová reforma – nákup mediálního prostoru“,</w:t>
      </w:r>
      <w:r>
        <w:rPr>
          <w:rFonts w:cs="Arial"/>
          <w:b w:val="0"/>
          <w:bCs w:val="0"/>
          <w:sz w:val="20"/>
          <w:szCs w:val="20"/>
        </w:rPr>
        <w:t xml:space="preserve"> zadané v souladu s § 141 zákona</w:t>
      </w:r>
      <w:r>
        <w:rPr>
          <w:rFonts w:cs="Arial"/>
          <w:b w:val="0"/>
          <w:bCs w:val="0"/>
          <w:sz w:val="20"/>
          <w:szCs w:val="20"/>
        </w:rPr>
        <w:br/>
        <w:t>č. 134/2016 Sb., o zadávání veřejných zakázek, ve znění pozdějších předpisů (dále jen „</w:t>
      </w:r>
      <w:r>
        <w:rPr>
          <w:rFonts w:cs="Arial"/>
          <w:sz w:val="20"/>
          <w:szCs w:val="20"/>
        </w:rPr>
        <w:t>ZZVZ</w:t>
      </w:r>
      <w:r>
        <w:rPr>
          <w:rFonts w:cs="Arial"/>
          <w:b w:val="0"/>
          <w:bCs w:val="0"/>
          <w:sz w:val="20"/>
          <w:szCs w:val="20"/>
        </w:rPr>
        <w:t xml:space="preserve">“) v rámci dynamického nákupního systému zavedeného Ministerstvem vnitra jakožto centrálním zadavatelem, uzavřely dne 29. 4. 2025 </w:t>
      </w:r>
      <w:r>
        <w:rPr>
          <w:b w:val="0"/>
          <w:bCs w:val="0"/>
          <w:sz w:val="20"/>
          <w:szCs w:val="20"/>
        </w:rPr>
        <w:t>Smlouvu o zajištění mediálního prostoru (dále jen „</w:t>
      </w:r>
      <w:r>
        <w:rPr>
          <w:sz w:val="20"/>
          <w:szCs w:val="20"/>
        </w:rPr>
        <w:t>Smlouva</w:t>
      </w:r>
      <w:r>
        <w:rPr>
          <w:b w:val="0"/>
          <w:bCs w:val="0"/>
          <w:sz w:val="20"/>
          <w:szCs w:val="20"/>
        </w:rPr>
        <w:t>“), která nabyla účinnosti dnem uveřejnění v registru smluv dne 6. 5. 2025.</w:t>
      </w:r>
    </w:p>
    <w:p w14:paraId="5AD9FA12" w14:textId="150700AC" w:rsidR="00ED0EF3" w:rsidRPr="006C187F" w:rsidRDefault="00C72A71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 w:rsidRPr="006C187F">
        <w:rPr>
          <w:rFonts w:cs="Arial"/>
          <w:b w:val="0"/>
          <w:bCs w:val="0"/>
          <w:sz w:val="20"/>
          <w:szCs w:val="20"/>
        </w:rPr>
        <w:t xml:space="preserve">Tento Dodatek č. 1 je uzavírán z důvodů stojících </w:t>
      </w:r>
      <w:r>
        <w:rPr>
          <w:rFonts w:cs="Arial"/>
          <w:b w:val="0"/>
          <w:bCs w:val="0"/>
          <w:sz w:val="20"/>
          <w:szCs w:val="20"/>
        </w:rPr>
        <w:t xml:space="preserve">mimo sféru vlivu </w:t>
      </w:r>
      <w:r w:rsidRPr="006C187F">
        <w:rPr>
          <w:rFonts w:cs="Arial"/>
          <w:b w:val="0"/>
          <w:bCs w:val="0"/>
          <w:sz w:val="20"/>
          <w:szCs w:val="20"/>
        </w:rPr>
        <w:t xml:space="preserve">Objednatele, které nastaly po uzavření Smlouvy a které nemohly být Objednatelem v době uzavření Smlouvy předvídány, </w:t>
      </w:r>
      <w:r w:rsidR="006C187F" w:rsidRPr="006C187F">
        <w:rPr>
          <w:rFonts w:cs="Arial"/>
          <w:b w:val="0"/>
          <w:bCs w:val="0"/>
          <w:sz w:val="20"/>
          <w:szCs w:val="20"/>
        </w:rPr>
        <w:t xml:space="preserve">a </w:t>
      </w:r>
      <w:r w:rsidRPr="006C187F">
        <w:rPr>
          <w:rFonts w:cs="Arial"/>
          <w:b w:val="0"/>
          <w:bCs w:val="0"/>
          <w:sz w:val="20"/>
          <w:szCs w:val="20"/>
        </w:rPr>
        <w:t>to za</w:t>
      </w:r>
      <w:r w:rsidR="006C187F" w:rsidRPr="006C187F">
        <w:rPr>
          <w:rFonts w:cs="Arial"/>
          <w:b w:val="0"/>
          <w:bCs w:val="0"/>
          <w:sz w:val="20"/>
          <w:szCs w:val="20"/>
        </w:rPr>
        <w:t xml:space="preserve"> účelem </w:t>
      </w:r>
      <w:r w:rsidRPr="006C187F">
        <w:rPr>
          <w:rFonts w:cs="Arial"/>
          <w:b w:val="0"/>
          <w:bCs w:val="0"/>
          <w:sz w:val="20"/>
          <w:szCs w:val="20"/>
        </w:rPr>
        <w:t>změny vybran</w:t>
      </w:r>
      <w:r w:rsidR="006C187F" w:rsidRPr="006C187F">
        <w:rPr>
          <w:rFonts w:cs="Arial"/>
          <w:b w:val="0"/>
          <w:bCs w:val="0"/>
          <w:sz w:val="20"/>
          <w:szCs w:val="20"/>
        </w:rPr>
        <w:t>ý</w:t>
      </w:r>
      <w:r w:rsidRPr="006C187F">
        <w:rPr>
          <w:rFonts w:cs="Arial"/>
          <w:b w:val="0"/>
          <w:bCs w:val="0"/>
          <w:sz w:val="20"/>
          <w:szCs w:val="20"/>
        </w:rPr>
        <w:t>ch Smlouvou sjednaných termínů</w:t>
      </w:r>
      <w:r>
        <w:rPr>
          <w:rFonts w:cs="Arial"/>
          <w:b w:val="0"/>
          <w:bCs w:val="0"/>
          <w:sz w:val="20"/>
          <w:szCs w:val="20"/>
        </w:rPr>
        <w:t xml:space="preserve"> plnění</w:t>
      </w:r>
      <w:r w:rsidRPr="006C187F">
        <w:rPr>
          <w:rFonts w:cs="Arial"/>
          <w:b w:val="0"/>
          <w:bCs w:val="0"/>
          <w:sz w:val="20"/>
          <w:szCs w:val="20"/>
        </w:rPr>
        <w:t xml:space="preserve"> v důsledku prodlení</w:t>
      </w:r>
      <w:r w:rsidR="00805398">
        <w:rPr>
          <w:rFonts w:cs="Arial"/>
          <w:b w:val="0"/>
          <w:bCs w:val="0"/>
          <w:sz w:val="20"/>
          <w:szCs w:val="20"/>
        </w:rPr>
        <w:br/>
      </w:r>
      <w:r w:rsidRPr="006C187F">
        <w:rPr>
          <w:rFonts w:cs="Arial"/>
          <w:b w:val="0"/>
          <w:bCs w:val="0"/>
          <w:sz w:val="20"/>
          <w:szCs w:val="20"/>
        </w:rPr>
        <w:t>ve výrobě daných kreativ ze strany extern</w:t>
      </w:r>
      <w:r w:rsidR="006C187F" w:rsidRPr="006C187F">
        <w:rPr>
          <w:rFonts w:cs="Arial"/>
          <w:b w:val="0"/>
          <w:bCs w:val="0"/>
          <w:sz w:val="20"/>
          <w:szCs w:val="20"/>
        </w:rPr>
        <w:t>í</w:t>
      </w:r>
      <w:r w:rsidRPr="006C187F">
        <w:rPr>
          <w:rFonts w:cs="Arial"/>
          <w:b w:val="0"/>
          <w:bCs w:val="0"/>
          <w:sz w:val="20"/>
          <w:szCs w:val="20"/>
        </w:rPr>
        <w:t>ho dodavatele.</w:t>
      </w:r>
    </w:p>
    <w:p w14:paraId="606BEF4D" w14:textId="75C428EC" w:rsidR="00C72A71" w:rsidRDefault="00C72A71" w:rsidP="00C72A71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kern w:val="32"/>
          <w:sz w:val="20"/>
          <w:szCs w:val="20"/>
          <w:lang w:eastAsia="cs-CZ"/>
        </w:rPr>
      </w:pPr>
      <w:r w:rsidRPr="00C72A71">
        <w:rPr>
          <w:rFonts w:ascii="Arial" w:hAnsi="Arial" w:cs="Arial"/>
          <w:kern w:val="32"/>
          <w:sz w:val="20"/>
          <w:szCs w:val="20"/>
          <w:lang w:eastAsia="cs-CZ"/>
        </w:rPr>
        <w:t xml:space="preserve">Vzhledem ke skutečnostem uvedeným v odst. </w:t>
      </w:r>
      <w:r>
        <w:rPr>
          <w:rFonts w:ascii="Arial" w:hAnsi="Arial" w:cs="Arial"/>
          <w:kern w:val="32"/>
          <w:sz w:val="20"/>
          <w:szCs w:val="20"/>
          <w:lang w:eastAsia="cs-CZ"/>
        </w:rPr>
        <w:t>2</w:t>
      </w:r>
      <w:r w:rsidRPr="00C72A71">
        <w:rPr>
          <w:rFonts w:ascii="Arial" w:hAnsi="Arial" w:cs="Arial"/>
          <w:kern w:val="32"/>
          <w:sz w:val="20"/>
          <w:szCs w:val="20"/>
          <w:lang w:eastAsia="cs-CZ"/>
        </w:rPr>
        <w:t xml:space="preserve"> tohoto článku Dodatku č. </w:t>
      </w:r>
      <w:r>
        <w:rPr>
          <w:rFonts w:ascii="Arial" w:hAnsi="Arial" w:cs="Arial"/>
          <w:kern w:val="32"/>
          <w:sz w:val="20"/>
          <w:szCs w:val="20"/>
          <w:lang w:eastAsia="cs-CZ"/>
        </w:rPr>
        <w:t>1</w:t>
      </w:r>
      <w:r w:rsidRPr="00C72A71">
        <w:rPr>
          <w:rFonts w:ascii="Arial" w:hAnsi="Arial" w:cs="Arial"/>
          <w:kern w:val="32"/>
          <w:sz w:val="20"/>
          <w:szCs w:val="20"/>
          <w:lang w:eastAsia="cs-CZ"/>
        </w:rPr>
        <w:t xml:space="preserve"> se Smluvní strany dohodly na úpravě </w:t>
      </w:r>
      <w:r>
        <w:rPr>
          <w:rFonts w:ascii="Arial" w:hAnsi="Arial" w:cs="Arial"/>
          <w:kern w:val="32"/>
          <w:sz w:val="20"/>
          <w:szCs w:val="20"/>
          <w:lang w:eastAsia="cs-CZ"/>
        </w:rPr>
        <w:t>Smlouvy</w:t>
      </w:r>
      <w:r w:rsidRPr="00C72A71">
        <w:rPr>
          <w:rFonts w:ascii="Arial" w:hAnsi="Arial" w:cs="Arial"/>
          <w:kern w:val="32"/>
          <w:sz w:val="20"/>
          <w:szCs w:val="20"/>
          <w:lang w:eastAsia="cs-CZ"/>
        </w:rPr>
        <w:t>, to způsobem uvedeným v čl. I</w:t>
      </w:r>
      <w:r>
        <w:rPr>
          <w:rFonts w:ascii="Arial" w:hAnsi="Arial" w:cs="Arial"/>
          <w:kern w:val="32"/>
          <w:sz w:val="20"/>
          <w:szCs w:val="20"/>
          <w:lang w:eastAsia="cs-CZ"/>
        </w:rPr>
        <w:t>. tohoto</w:t>
      </w:r>
      <w:r w:rsidRPr="00C72A71">
        <w:rPr>
          <w:rFonts w:ascii="Arial" w:hAnsi="Arial" w:cs="Arial"/>
          <w:kern w:val="32"/>
          <w:sz w:val="20"/>
          <w:szCs w:val="20"/>
          <w:lang w:eastAsia="cs-CZ"/>
        </w:rPr>
        <w:t xml:space="preserve"> Dodatku č. </w:t>
      </w:r>
      <w:r>
        <w:rPr>
          <w:rFonts w:ascii="Arial" w:hAnsi="Arial" w:cs="Arial"/>
          <w:kern w:val="32"/>
          <w:sz w:val="20"/>
          <w:szCs w:val="20"/>
          <w:lang w:eastAsia="cs-CZ"/>
        </w:rPr>
        <w:t>1</w:t>
      </w:r>
      <w:r w:rsidRPr="00C72A71">
        <w:rPr>
          <w:rFonts w:ascii="Arial" w:hAnsi="Arial" w:cs="Arial"/>
          <w:kern w:val="32"/>
          <w:sz w:val="20"/>
          <w:szCs w:val="20"/>
          <w:lang w:eastAsia="cs-CZ"/>
        </w:rPr>
        <w:t>.</w:t>
      </w:r>
      <w:r>
        <w:rPr>
          <w:rFonts w:ascii="Arial" w:hAnsi="Arial" w:cs="Arial"/>
          <w:kern w:val="32"/>
          <w:sz w:val="20"/>
          <w:szCs w:val="20"/>
          <w:lang w:eastAsia="cs-CZ"/>
        </w:rPr>
        <w:t xml:space="preserve"> </w:t>
      </w:r>
    </w:p>
    <w:p w14:paraId="08741313" w14:textId="0162CB91" w:rsidR="00ED0EF3" w:rsidRPr="00C72A71" w:rsidRDefault="00C72A71" w:rsidP="00C72A71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 w:rsidRPr="00C72A71">
        <w:rPr>
          <w:rFonts w:cs="Arial"/>
          <w:b w:val="0"/>
          <w:bCs w:val="0"/>
          <w:sz w:val="20"/>
          <w:szCs w:val="20"/>
        </w:rPr>
        <w:t xml:space="preserve">Tento Dodatek č. 1 není uzavírán v rozporu s § 222 odst. 3 </w:t>
      </w:r>
      <w:r>
        <w:rPr>
          <w:rFonts w:cs="Arial"/>
          <w:b w:val="0"/>
          <w:bCs w:val="0"/>
          <w:sz w:val="20"/>
          <w:szCs w:val="20"/>
        </w:rPr>
        <w:t>ZZVZ</w:t>
      </w:r>
      <w:r w:rsidRPr="00C72A71">
        <w:rPr>
          <w:rFonts w:cs="Arial"/>
          <w:b w:val="0"/>
          <w:bCs w:val="0"/>
          <w:sz w:val="20"/>
          <w:szCs w:val="20"/>
        </w:rPr>
        <w:t>. Sjednané změny Mediálního plánu nepředstavují podstatnou změnu závazku sjednaného Smlouvou.</w:t>
      </w:r>
    </w:p>
    <w:p w14:paraId="680C8668" w14:textId="77777777" w:rsidR="00ED0EF3" w:rsidRDefault="00C72A71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Smluvní strany prohlašují, že veškeré pojmy uvedené v tomto Dodatku č. 1 budou vykládány v souladu s jejich významem uvedeným ve Smlouvě.</w:t>
      </w:r>
    </w:p>
    <w:p w14:paraId="438D4110" w14:textId="77777777" w:rsidR="00ED0EF3" w:rsidRDefault="00C72A71" w:rsidP="00F20F68">
      <w:pPr>
        <w:pStyle w:val="Odstavecseseznamem"/>
        <w:widowControl w:val="0"/>
        <w:numPr>
          <w:ilvl w:val="0"/>
          <w:numId w:val="2"/>
        </w:numPr>
        <w:spacing w:before="360" w:after="0" w:line="280" w:lineRule="atLeast"/>
        <w:ind w:left="0" w:hanging="505"/>
        <w:contextualSpacing w:val="0"/>
        <w:jc w:val="center"/>
        <w:rPr>
          <w:rFonts w:ascii="Arial" w:hAnsi="Arial"/>
          <w:b/>
          <w:bCs/>
          <w:kern w:val="32"/>
          <w:sz w:val="20"/>
          <w:szCs w:val="20"/>
          <w:lang w:eastAsia="cs-CZ"/>
        </w:rPr>
      </w:pPr>
      <w:r>
        <w:rPr>
          <w:rFonts w:ascii="Arial" w:hAnsi="Arial"/>
          <w:b/>
          <w:bCs/>
          <w:kern w:val="32"/>
          <w:sz w:val="20"/>
          <w:szCs w:val="20"/>
          <w:lang w:eastAsia="cs-CZ"/>
        </w:rPr>
        <w:t>Článek I.</w:t>
      </w:r>
    </w:p>
    <w:p w14:paraId="1D05D144" w14:textId="77777777" w:rsidR="00ED0EF3" w:rsidRDefault="00C72A71">
      <w:pPr>
        <w:pStyle w:val="Odstavecseseznamem"/>
        <w:widowControl w:val="0"/>
        <w:numPr>
          <w:ilvl w:val="0"/>
          <w:numId w:val="2"/>
        </w:numPr>
        <w:spacing w:after="120" w:line="280" w:lineRule="atLeast"/>
        <w:ind w:left="0" w:hanging="505"/>
        <w:contextualSpacing w:val="0"/>
        <w:jc w:val="center"/>
        <w:rPr>
          <w:rFonts w:ascii="Arial" w:hAnsi="Arial"/>
          <w:b/>
          <w:bCs/>
          <w:kern w:val="32"/>
          <w:sz w:val="20"/>
          <w:szCs w:val="20"/>
          <w:lang w:eastAsia="cs-CZ"/>
        </w:rPr>
      </w:pPr>
      <w:r>
        <w:rPr>
          <w:rFonts w:ascii="Arial" w:hAnsi="Arial"/>
          <w:b/>
          <w:bCs/>
          <w:kern w:val="32"/>
          <w:sz w:val="20"/>
          <w:szCs w:val="20"/>
          <w:lang w:eastAsia="cs-CZ"/>
        </w:rPr>
        <w:t xml:space="preserve">Předmět Dodatku č. 1 </w:t>
      </w:r>
    </w:p>
    <w:p w14:paraId="0339D800" w14:textId="77777777" w:rsidR="00ED0EF3" w:rsidRDefault="00C72A71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Předmětem tohoto Dodatku č. 1 je dohoda Smluvních stran o změně přílohy č. 1 Smlouvy – Mediální plán (dále jen „</w:t>
      </w:r>
      <w:r>
        <w:rPr>
          <w:rFonts w:cs="Arial"/>
          <w:sz w:val="20"/>
          <w:szCs w:val="20"/>
        </w:rPr>
        <w:t>Mediální plán</w:t>
      </w:r>
      <w:r>
        <w:rPr>
          <w:rFonts w:cs="Arial"/>
          <w:b w:val="0"/>
          <w:bCs w:val="0"/>
          <w:sz w:val="20"/>
          <w:szCs w:val="20"/>
        </w:rPr>
        <w:t>“).</w:t>
      </w:r>
    </w:p>
    <w:p w14:paraId="5D20379D" w14:textId="15DDD4AE" w:rsidR="00ED0EF3" w:rsidRDefault="00C72A71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Smluvní strany sjednávají změnu v termínu plnění v rámci mediatypu OOH, a to u položek s ceníkovou jednotkou v počtu měsíců. Termíny plnění dotčených položek Mediálního plánu byly upraveny takovým způsobem, aby odpovídaly původní délce plnění, přičemž počátek plnění byl u jednotlivých položek posunut na nejbližší reálně a objektivně možný termín.</w:t>
      </w:r>
    </w:p>
    <w:p w14:paraId="3802640B" w14:textId="77777777" w:rsidR="00ED0EF3" w:rsidRDefault="00C72A71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Smluvní strany dále sjednávají změnu v rozměrech ploch určených k nájmu, a to v rámci mediatypu OOH u položek v řádku 22, 27 a 32.</w:t>
      </w:r>
    </w:p>
    <w:p w14:paraId="79EDEB5A" w14:textId="677910F3" w:rsidR="00495BE2" w:rsidRDefault="00495BE2" w:rsidP="00495BE2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 xml:space="preserve">Smluvní strany konstatují, že změny dle odstavců 2. a 3. tohoto článku Dodatku č. 1 jsou v upraveném Mediálním plánu, který </w:t>
      </w:r>
      <w:proofErr w:type="gramStart"/>
      <w:r>
        <w:rPr>
          <w:rFonts w:cs="Arial"/>
          <w:b w:val="0"/>
          <w:bCs w:val="0"/>
          <w:sz w:val="20"/>
          <w:szCs w:val="20"/>
        </w:rPr>
        <w:t>tvoří</w:t>
      </w:r>
      <w:proofErr w:type="gramEnd"/>
      <w:r>
        <w:rPr>
          <w:rFonts w:cs="Arial"/>
          <w:b w:val="0"/>
          <w:bCs w:val="0"/>
          <w:sz w:val="20"/>
          <w:szCs w:val="20"/>
        </w:rPr>
        <w:t xml:space="preserve"> přílohu a nedílnou součást tohoto Dodatku č. 1, vyznačeny žlutou barvou.</w:t>
      </w:r>
    </w:p>
    <w:p w14:paraId="45389163" w14:textId="6F891EE4" w:rsidR="00495BE2" w:rsidRDefault="00495BE2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 w:rsidRPr="00495BE2">
        <w:rPr>
          <w:rFonts w:cs="Arial"/>
          <w:b w:val="0"/>
          <w:bCs w:val="0"/>
          <w:sz w:val="20"/>
          <w:szCs w:val="20"/>
        </w:rPr>
        <w:t>Smluvn</w:t>
      </w:r>
      <w:r>
        <w:rPr>
          <w:rFonts w:cs="Arial"/>
          <w:b w:val="0"/>
          <w:bCs w:val="0"/>
          <w:sz w:val="20"/>
          <w:szCs w:val="20"/>
        </w:rPr>
        <w:t>í</w:t>
      </w:r>
      <w:r w:rsidRPr="00495BE2">
        <w:rPr>
          <w:rFonts w:cs="Arial"/>
          <w:b w:val="0"/>
          <w:bCs w:val="0"/>
          <w:sz w:val="20"/>
          <w:szCs w:val="20"/>
        </w:rPr>
        <w:t xml:space="preserve"> strany t</w:t>
      </w:r>
      <w:r>
        <w:rPr>
          <w:rFonts w:cs="Arial"/>
          <w:b w:val="0"/>
          <w:bCs w:val="0"/>
          <w:sz w:val="20"/>
          <w:szCs w:val="20"/>
        </w:rPr>
        <w:t>í</w:t>
      </w:r>
      <w:r w:rsidRPr="00495BE2">
        <w:rPr>
          <w:rFonts w:cs="Arial"/>
          <w:b w:val="0"/>
          <w:bCs w:val="0"/>
          <w:sz w:val="20"/>
          <w:szCs w:val="20"/>
        </w:rPr>
        <w:t xml:space="preserve">mto Dodatkem </w:t>
      </w:r>
      <w:r>
        <w:rPr>
          <w:rFonts w:cs="Arial"/>
          <w:b w:val="0"/>
          <w:bCs w:val="0"/>
          <w:sz w:val="20"/>
          <w:szCs w:val="20"/>
        </w:rPr>
        <w:t>č</w:t>
      </w:r>
      <w:r w:rsidRPr="00495BE2">
        <w:rPr>
          <w:rFonts w:cs="Arial"/>
          <w:b w:val="0"/>
          <w:bCs w:val="0"/>
          <w:sz w:val="20"/>
          <w:szCs w:val="20"/>
        </w:rPr>
        <w:t>. 1 d</w:t>
      </w:r>
      <w:r>
        <w:rPr>
          <w:rFonts w:cs="Arial"/>
          <w:b w:val="0"/>
          <w:bCs w:val="0"/>
          <w:sz w:val="20"/>
          <w:szCs w:val="20"/>
        </w:rPr>
        <w:t>á</w:t>
      </w:r>
      <w:r w:rsidRPr="00495BE2">
        <w:rPr>
          <w:rFonts w:cs="Arial"/>
          <w:b w:val="0"/>
          <w:bCs w:val="0"/>
          <w:sz w:val="20"/>
          <w:szCs w:val="20"/>
        </w:rPr>
        <w:t>le zp</w:t>
      </w:r>
      <w:r>
        <w:rPr>
          <w:rFonts w:cs="Arial"/>
          <w:b w:val="0"/>
          <w:bCs w:val="0"/>
          <w:sz w:val="20"/>
          <w:szCs w:val="20"/>
        </w:rPr>
        <w:t>ě</w:t>
      </w:r>
      <w:r w:rsidRPr="00495BE2">
        <w:rPr>
          <w:rFonts w:cs="Arial"/>
          <w:b w:val="0"/>
          <w:bCs w:val="0"/>
          <w:sz w:val="20"/>
          <w:szCs w:val="20"/>
        </w:rPr>
        <w:t>tn</w:t>
      </w:r>
      <w:r>
        <w:rPr>
          <w:rFonts w:cs="Arial"/>
          <w:b w:val="0"/>
          <w:bCs w:val="0"/>
          <w:sz w:val="20"/>
          <w:szCs w:val="20"/>
        </w:rPr>
        <w:t>ě</w:t>
      </w:r>
      <w:r w:rsidRPr="00495BE2">
        <w:rPr>
          <w:rFonts w:cs="Arial"/>
          <w:b w:val="0"/>
          <w:bCs w:val="0"/>
          <w:sz w:val="20"/>
          <w:szCs w:val="20"/>
        </w:rPr>
        <w:t xml:space="preserve"> utvrzuj</w:t>
      </w:r>
      <w:r>
        <w:rPr>
          <w:rFonts w:cs="Arial"/>
          <w:b w:val="0"/>
          <w:bCs w:val="0"/>
          <w:sz w:val="20"/>
          <w:szCs w:val="20"/>
        </w:rPr>
        <w:t>í</w:t>
      </w:r>
      <w:r w:rsidRPr="00495BE2">
        <w:rPr>
          <w:rFonts w:cs="Arial"/>
          <w:b w:val="0"/>
          <w:bCs w:val="0"/>
          <w:sz w:val="20"/>
          <w:szCs w:val="20"/>
        </w:rPr>
        <w:t xml:space="preserve"> z</w:t>
      </w:r>
      <w:r>
        <w:rPr>
          <w:rFonts w:cs="Arial"/>
          <w:b w:val="0"/>
          <w:bCs w:val="0"/>
          <w:sz w:val="20"/>
          <w:szCs w:val="20"/>
        </w:rPr>
        <w:t>á</w:t>
      </w:r>
      <w:r w:rsidRPr="00495BE2">
        <w:rPr>
          <w:rFonts w:cs="Arial"/>
          <w:b w:val="0"/>
          <w:bCs w:val="0"/>
          <w:sz w:val="20"/>
          <w:szCs w:val="20"/>
        </w:rPr>
        <w:t xml:space="preserve">vazek </w:t>
      </w:r>
      <w:r w:rsidR="009D7A13">
        <w:rPr>
          <w:rFonts w:cs="Arial"/>
          <w:b w:val="0"/>
          <w:bCs w:val="0"/>
          <w:sz w:val="20"/>
          <w:szCs w:val="20"/>
        </w:rPr>
        <w:t>Doda</w:t>
      </w:r>
      <w:r w:rsidRPr="00495BE2">
        <w:rPr>
          <w:rFonts w:cs="Arial"/>
          <w:b w:val="0"/>
          <w:bCs w:val="0"/>
          <w:sz w:val="20"/>
          <w:szCs w:val="20"/>
        </w:rPr>
        <w:t>vatele poskytovat slu</w:t>
      </w:r>
      <w:r>
        <w:rPr>
          <w:rFonts w:cs="Arial"/>
          <w:b w:val="0"/>
          <w:bCs w:val="0"/>
          <w:sz w:val="20"/>
          <w:szCs w:val="20"/>
        </w:rPr>
        <w:t>ž</w:t>
      </w:r>
      <w:r w:rsidRPr="00495BE2">
        <w:rPr>
          <w:rFonts w:cs="Arial"/>
          <w:b w:val="0"/>
          <w:bCs w:val="0"/>
          <w:sz w:val="20"/>
          <w:szCs w:val="20"/>
        </w:rPr>
        <w:t xml:space="preserve">by </w:t>
      </w:r>
      <w:r w:rsidR="00430A4B">
        <w:rPr>
          <w:rFonts w:cs="Arial"/>
          <w:b w:val="0"/>
          <w:bCs w:val="0"/>
          <w:sz w:val="20"/>
          <w:szCs w:val="20"/>
        </w:rPr>
        <w:t>specifikované</w:t>
      </w:r>
      <w:r w:rsidRPr="00495BE2">
        <w:rPr>
          <w:rFonts w:cs="Arial"/>
          <w:b w:val="0"/>
          <w:bCs w:val="0"/>
          <w:sz w:val="20"/>
          <w:szCs w:val="20"/>
        </w:rPr>
        <w:t xml:space="preserve"> </w:t>
      </w:r>
      <w:r w:rsidR="00430A4B">
        <w:rPr>
          <w:rFonts w:cs="Arial"/>
          <w:b w:val="0"/>
          <w:bCs w:val="0"/>
          <w:sz w:val="20"/>
          <w:szCs w:val="20"/>
        </w:rPr>
        <w:t>v</w:t>
      </w:r>
      <w:r w:rsidR="00CD2397">
        <w:rPr>
          <w:rFonts w:cs="Arial"/>
          <w:b w:val="0"/>
          <w:bCs w:val="0"/>
          <w:sz w:val="20"/>
          <w:szCs w:val="20"/>
        </w:rPr>
        <w:t xml:space="preserve"> řádku</w:t>
      </w:r>
      <w:r w:rsidRPr="00495BE2">
        <w:rPr>
          <w:rFonts w:cs="Arial"/>
          <w:b w:val="0"/>
          <w:bCs w:val="0"/>
          <w:sz w:val="20"/>
          <w:szCs w:val="20"/>
        </w:rPr>
        <w:t xml:space="preserve"> </w:t>
      </w:r>
      <w:r w:rsidR="00CD2397">
        <w:rPr>
          <w:rFonts w:cs="Arial"/>
          <w:b w:val="0"/>
          <w:bCs w:val="0"/>
          <w:sz w:val="20"/>
          <w:szCs w:val="20"/>
        </w:rPr>
        <w:t>16 a 17 v rámci mediatypu OOH</w:t>
      </w:r>
      <w:r w:rsidRPr="00495BE2">
        <w:rPr>
          <w:rFonts w:cs="Arial"/>
          <w:b w:val="0"/>
          <w:bCs w:val="0"/>
          <w:sz w:val="20"/>
          <w:szCs w:val="20"/>
        </w:rPr>
        <w:t xml:space="preserve"> Medi</w:t>
      </w:r>
      <w:r w:rsidR="00CD2397">
        <w:rPr>
          <w:rFonts w:cs="Arial"/>
          <w:b w:val="0"/>
          <w:bCs w:val="0"/>
          <w:sz w:val="20"/>
          <w:szCs w:val="20"/>
        </w:rPr>
        <w:t>á</w:t>
      </w:r>
      <w:r w:rsidRPr="00495BE2">
        <w:rPr>
          <w:rFonts w:cs="Arial"/>
          <w:b w:val="0"/>
          <w:bCs w:val="0"/>
          <w:sz w:val="20"/>
          <w:szCs w:val="20"/>
        </w:rPr>
        <w:t>ln</w:t>
      </w:r>
      <w:r w:rsidR="00CD2397">
        <w:rPr>
          <w:rFonts w:cs="Arial"/>
          <w:b w:val="0"/>
          <w:bCs w:val="0"/>
          <w:sz w:val="20"/>
          <w:szCs w:val="20"/>
        </w:rPr>
        <w:t>í</w:t>
      </w:r>
      <w:r w:rsidRPr="00495BE2">
        <w:rPr>
          <w:rFonts w:cs="Arial"/>
          <w:b w:val="0"/>
          <w:bCs w:val="0"/>
          <w:sz w:val="20"/>
          <w:szCs w:val="20"/>
        </w:rPr>
        <w:t>ho pl</w:t>
      </w:r>
      <w:r w:rsidR="00CD2397">
        <w:rPr>
          <w:rFonts w:cs="Arial"/>
          <w:b w:val="0"/>
          <w:bCs w:val="0"/>
          <w:sz w:val="20"/>
          <w:szCs w:val="20"/>
        </w:rPr>
        <w:t>á</w:t>
      </w:r>
      <w:r w:rsidRPr="00495BE2">
        <w:rPr>
          <w:rFonts w:cs="Arial"/>
          <w:b w:val="0"/>
          <w:bCs w:val="0"/>
          <w:sz w:val="20"/>
          <w:szCs w:val="20"/>
        </w:rPr>
        <w:t>nu ji</w:t>
      </w:r>
      <w:r w:rsidR="00CD2397">
        <w:rPr>
          <w:rFonts w:cs="Arial"/>
          <w:b w:val="0"/>
          <w:bCs w:val="0"/>
          <w:sz w:val="20"/>
          <w:szCs w:val="20"/>
        </w:rPr>
        <w:t>ž</w:t>
      </w:r>
      <w:r w:rsidRPr="00495BE2">
        <w:rPr>
          <w:rFonts w:cs="Arial"/>
          <w:b w:val="0"/>
          <w:bCs w:val="0"/>
          <w:sz w:val="20"/>
          <w:szCs w:val="20"/>
        </w:rPr>
        <w:t xml:space="preserve"> k</w:t>
      </w:r>
      <w:r w:rsidR="00324B8F">
        <w:rPr>
          <w:rFonts w:cs="Arial"/>
          <w:b w:val="0"/>
          <w:bCs w:val="0"/>
          <w:sz w:val="20"/>
          <w:szCs w:val="20"/>
        </w:rPr>
        <w:t> </w:t>
      </w:r>
      <w:r w:rsidRPr="00495BE2">
        <w:rPr>
          <w:rFonts w:cs="Arial"/>
          <w:b w:val="0"/>
          <w:bCs w:val="0"/>
          <w:sz w:val="20"/>
          <w:szCs w:val="20"/>
        </w:rPr>
        <w:t>datu</w:t>
      </w:r>
      <w:r w:rsidR="00324B8F">
        <w:rPr>
          <w:rFonts w:cs="Arial"/>
          <w:b w:val="0"/>
          <w:bCs w:val="0"/>
          <w:sz w:val="20"/>
          <w:szCs w:val="20"/>
        </w:rPr>
        <w:br/>
      </w:r>
      <w:r w:rsidRPr="00495BE2">
        <w:rPr>
          <w:rFonts w:cs="Arial"/>
          <w:b w:val="0"/>
          <w:bCs w:val="0"/>
          <w:sz w:val="20"/>
          <w:szCs w:val="20"/>
        </w:rPr>
        <w:t>6.</w:t>
      </w:r>
      <w:r w:rsidR="00CD2397">
        <w:rPr>
          <w:rFonts w:cs="Arial"/>
          <w:b w:val="0"/>
          <w:bCs w:val="0"/>
          <w:sz w:val="20"/>
          <w:szCs w:val="20"/>
        </w:rPr>
        <w:t xml:space="preserve"> </w:t>
      </w:r>
      <w:r w:rsidRPr="00495BE2">
        <w:rPr>
          <w:rFonts w:cs="Arial"/>
          <w:b w:val="0"/>
          <w:bCs w:val="0"/>
          <w:sz w:val="20"/>
          <w:szCs w:val="20"/>
        </w:rPr>
        <w:t>5.</w:t>
      </w:r>
      <w:r w:rsidR="00CD2397">
        <w:rPr>
          <w:rFonts w:cs="Arial"/>
          <w:b w:val="0"/>
          <w:bCs w:val="0"/>
          <w:sz w:val="20"/>
          <w:szCs w:val="20"/>
        </w:rPr>
        <w:t xml:space="preserve"> </w:t>
      </w:r>
      <w:r w:rsidRPr="00495BE2">
        <w:rPr>
          <w:rFonts w:cs="Arial"/>
          <w:b w:val="0"/>
          <w:bCs w:val="0"/>
          <w:sz w:val="20"/>
          <w:szCs w:val="20"/>
        </w:rPr>
        <w:t>2025, nebo</w:t>
      </w:r>
      <w:r w:rsidR="00CD2397">
        <w:rPr>
          <w:rFonts w:cs="Arial"/>
          <w:b w:val="0"/>
          <w:bCs w:val="0"/>
          <w:sz w:val="20"/>
          <w:szCs w:val="20"/>
        </w:rPr>
        <w:t>ť</w:t>
      </w:r>
      <w:r w:rsidRPr="00495BE2">
        <w:rPr>
          <w:rFonts w:cs="Arial"/>
          <w:b w:val="0"/>
          <w:bCs w:val="0"/>
          <w:sz w:val="20"/>
          <w:szCs w:val="20"/>
        </w:rPr>
        <w:t xml:space="preserve"> zah</w:t>
      </w:r>
      <w:r w:rsidR="00CD2397">
        <w:rPr>
          <w:rFonts w:cs="Arial"/>
          <w:b w:val="0"/>
          <w:bCs w:val="0"/>
          <w:sz w:val="20"/>
          <w:szCs w:val="20"/>
        </w:rPr>
        <w:t>á</w:t>
      </w:r>
      <w:r w:rsidRPr="00495BE2">
        <w:rPr>
          <w:rFonts w:cs="Arial"/>
          <w:b w:val="0"/>
          <w:bCs w:val="0"/>
          <w:sz w:val="20"/>
          <w:szCs w:val="20"/>
        </w:rPr>
        <w:t>j</w:t>
      </w:r>
      <w:r w:rsidR="00C72A71">
        <w:rPr>
          <w:rFonts w:cs="Arial"/>
          <w:b w:val="0"/>
          <w:bCs w:val="0"/>
          <w:sz w:val="20"/>
          <w:szCs w:val="20"/>
        </w:rPr>
        <w:t xml:space="preserve">ení </w:t>
      </w:r>
      <w:r w:rsidRPr="00495BE2">
        <w:rPr>
          <w:rFonts w:cs="Arial"/>
          <w:b w:val="0"/>
          <w:bCs w:val="0"/>
          <w:sz w:val="20"/>
          <w:szCs w:val="20"/>
        </w:rPr>
        <w:t>poskytov</w:t>
      </w:r>
      <w:r w:rsidR="00CD2397">
        <w:rPr>
          <w:rFonts w:cs="Arial"/>
          <w:b w:val="0"/>
          <w:bCs w:val="0"/>
          <w:sz w:val="20"/>
          <w:szCs w:val="20"/>
        </w:rPr>
        <w:t>á</w:t>
      </w:r>
      <w:r w:rsidRPr="00495BE2">
        <w:rPr>
          <w:rFonts w:cs="Arial"/>
          <w:b w:val="0"/>
          <w:bCs w:val="0"/>
          <w:sz w:val="20"/>
          <w:szCs w:val="20"/>
        </w:rPr>
        <w:t>n</w:t>
      </w:r>
      <w:r w:rsidR="00CD2397">
        <w:rPr>
          <w:rFonts w:cs="Arial"/>
          <w:b w:val="0"/>
          <w:bCs w:val="0"/>
          <w:sz w:val="20"/>
          <w:szCs w:val="20"/>
        </w:rPr>
        <w:t>í</w:t>
      </w:r>
      <w:r w:rsidRPr="00495BE2">
        <w:rPr>
          <w:rFonts w:cs="Arial"/>
          <w:b w:val="0"/>
          <w:bCs w:val="0"/>
          <w:sz w:val="20"/>
          <w:szCs w:val="20"/>
        </w:rPr>
        <w:t xml:space="preserve"> t</w:t>
      </w:r>
      <w:r w:rsidR="00CD2397">
        <w:rPr>
          <w:rFonts w:cs="Arial"/>
          <w:b w:val="0"/>
          <w:bCs w:val="0"/>
          <w:sz w:val="20"/>
          <w:szCs w:val="20"/>
        </w:rPr>
        <w:t>ě</w:t>
      </w:r>
      <w:r w:rsidRPr="00495BE2">
        <w:rPr>
          <w:rFonts w:cs="Arial"/>
          <w:b w:val="0"/>
          <w:bCs w:val="0"/>
          <w:sz w:val="20"/>
          <w:szCs w:val="20"/>
        </w:rPr>
        <w:t>chto slu</w:t>
      </w:r>
      <w:r w:rsidR="00CD2397">
        <w:rPr>
          <w:rFonts w:cs="Arial"/>
          <w:b w:val="0"/>
          <w:bCs w:val="0"/>
          <w:sz w:val="20"/>
          <w:szCs w:val="20"/>
        </w:rPr>
        <w:t>ž</w:t>
      </w:r>
      <w:r w:rsidRPr="00495BE2">
        <w:rPr>
          <w:rFonts w:cs="Arial"/>
          <w:b w:val="0"/>
          <w:bCs w:val="0"/>
          <w:sz w:val="20"/>
          <w:szCs w:val="20"/>
        </w:rPr>
        <w:t>eb a</w:t>
      </w:r>
      <w:r w:rsidR="00CD2397">
        <w:rPr>
          <w:rFonts w:cs="Arial"/>
          <w:b w:val="0"/>
          <w:bCs w:val="0"/>
          <w:sz w:val="20"/>
          <w:szCs w:val="20"/>
        </w:rPr>
        <w:t>ž</w:t>
      </w:r>
      <w:r w:rsidRPr="00495BE2">
        <w:rPr>
          <w:rFonts w:cs="Arial"/>
          <w:b w:val="0"/>
          <w:bCs w:val="0"/>
          <w:sz w:val="20"/>
          <w:szCs w:val="20"/>
        </w:rPr>
        <w:t xml:space="preserve"> po nabyt</w:t>
      </w:r>
      <w:r w:rsidR="00CD2397">
        <w:rPr>
          <w:rFonts w:cs="Arial"/>
          <w:b w:val="0"/>
          <w:bCs w:val="0"/>
          <w:sz w:val="20"/>
          <w:szCs w:val="20"/>
        </w:rPr>
        <w:t>í</w:t>
      </w:r>
      <w:r w:rsidRPr="00495BE2">
        <w:rPr>
          <w:rFonts w:cs="Arial"/>
          <w:b w:val="0"/>
          <w:bCs w:val="0"/>
          <w:sz w:val="20"/>
          <w:szCs w:val="20"/>
        </w:rPr>
        <w:t xml:space="preserve"> </w:t>
      </w:r>
      <w:r w:rsidR="00CD2397">
        <w:rPr>
          <w:rFonts w:cs="Arial"/>
          <w:b w:val="0"/>
          <w:bCs w:val="0"/>
          <w:sz w:val="20"/>
          <w:szCs w:val="20"/>
        </w:rPr>
        <w:t>úč</w:t>
      </w:r>
      <w:r w:rsidRPr="00495BE2">
        <w:rPr>
          <w:rFonts w:cs="Arial"/>
          <w:b w:val="0"/>
          <w:bCs w:val="0"/>
          <w:sz w:val="20"/>
          <w:szCs w:val="20"/>
        </w:rPr>
        <w:t>innosti tohoto Dodatku</w:t>
      </w:r>
      <w:r w:rsidR="003D154B">
        <w:rPr>
          <w:rFonts w:cs="Arial"/>
          <w:b w:val="0"/>
          <w:bCs w:val="0"/>
          <w:sz w:val="20"/>
          <w:szCs w:val="20"/>
        </w:rPr>
        <w:br/>
      </w:r>
      <w:r w:rsidR="00CD2397">
        <w:rPr>
          <w:rFonts w:cs="Arial"/>
          <w:b w:val="0"/>
          <w:bCs w:val="0"/>
          <w:sz w:val="20"/>
          <w:szCs w:val="20"/>
        </w:rPr>
        <w:t>č</w:t>
      </w:r>
      <w:r w:rsidRPr="00495BE2">
        <w:rPr>
          <w:rFonts w:cs="Arial"/>
          <w:b w:val="0"/>
          <w:bCs w:val="0"/>
          <w:sz w:val="20"/>
          <w:szCs w:val="20"/>
        </w:rPr>
        <w:t>. 1</w:t>
      </w:r>
      <w:r w:rsidR="00C72A71">
        <w:rPr>
          <w:rFonts w:cs="Arial"/>
          <w:b w:val="0"/>
          <w:bCs w:val="0"/>
          <w:sz w:val="20"/>
          <w:szCs w:val="20"/>
        </w:rPr>
        <w:t xml:space="preserve"> není souladné s účelem sledovaným Smlouvou.</w:t>
      </w:r>
    </w:p>
    <w:p w14:paraId="258F2983" w14:textId="77777777" w:rsidR="00ED0EF3" w:rsidRDefault="00C72A71" w:rsidP="00F20F68">
      <w:pPr>
        <w:pStyle w:val="Odstavecseseznamem"/>
        <w:keepNext/>
        <w:numPr>
          <w:ilvl w:val="0"/>
          <w:numId w:val="2"/>
        </w:numPr>
        <w:spacing w:before="360" w:after="0" w:line="280" w:lineRule="atLeast"/>
        <w:ind w:left="0" w:hanging="505"/>
        <w:contextualSpacing w:val="0"/>
        <w:jc w:val="center"/>
        <w:rPr>
          <w:rFonts w:ascii="Arial" w:hAnsi="Arial"/>
          <w:b/>
          <w:bCs/>
          <w:kern w:val="32"/>
          <w:sz w:val="20"/>
          <w:szCs w:val="20"/>
          <w:lang w:eastAsia="cs-CZ"/>
        </w:rPr>
      </w:pPr>
      <w:r>
        <w:rPr>
          <w:rFonts w:ascii="Arial" w:hAnsi="Arial"/>
          <w:b/>
          <w:bCs/>
          <w:kern w:val="32"/>
          <w:sz w:val="20"/>
          <w:szCs w:val="20"/>
          <w:lang w:eastAsia="cs-CZ"/>
        </w:rPr>
        <w:t>Článek II.</w:t>
      </w:r>
    </w:p>
    <w:p w14:paraId="0038520C" w14:textId="77777777" w:rsidR="00ED0EF3" w:rsidRDefault="00C72A71">
      <w:pPr>
        <w:pStyle w:val="Odstavecseseznamem"/>
        <w:keepNext/>
        <w:numPr>
          <w:ilvl w:val="0"/>
          <w:numId w:val="2"/>
        </w:numPr>
        <w:spacing w:after="120" w:line="280" w:lineRule="atLeast"/>
        <w:ind w:left="0" w:hanging="505"/>
        <w:contextualSpacing w:val="0"/>
        <w:jc w:val="center"/>
        <w:rPr>
          <w:rFonts w:ascii="Arial" w:hAnsi="Arial"/>
          <w:b/>
          <w:bCs/>
          <w:kern w:val="32"/>
          <w:sz w:val="20"/>
          <w:szCs w:val="20"/>
          <w:lang w:eastAsia="cs-CZ"/>
        </w:rPr>
      </w:pPr>
      <w:r>
        <w:rPr>
          <w:rFonts w:ascii="Arial" w:hAnsi="Arial"/>
          <w:b/>
          <w:bCs/>
          <w:kern w:val="32"/>
          <w:sz w:val="20"/>
          <w:szCs w:val="20"/>
          <w:lang w:eastAsia="cs-CZ"/>
        </w:rPr>
        <w:t>Závěrečná ustanovení</w:t>
      </w:r>
    </w:p>
    <w:p w14:paraId="0BB04678" w14:textId="77777777" w:rsidR="00ED0EF3" w:rsidRDefault="00C72A71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Mimo ujednání výslovně sjednaná tímto Dodatkem č. 1 zůstávají ostatní ustanovení Smlouvy nedotčena.</w:t>
      </w:r>
    </w:p>
    <w:p w14:paraId="048C0E3D" w14:textId="77777777" w:rsidR="00ED0EF3" w:rsidRDefault="00C72A71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 xml:space="preserve">Tento Dodatek č. 1 nabývá platnosti dnem jeho podpisu Smluvními stranami. V případě, </w:t>
      </w:r>
      <w:r>
        <w:rPr>
          <w:rFonts w:cs="Arial"/>
          <w:b w:val="0"/>
          <w:bCs w:val="0"/>
          <w:sz w:val="20"/>
          <w:szCs w:val="20"/>
        </w:rPr>
        <w:br/>
        <w:t>že k podpisu tohoto Dodatku č. 1 Smluvními stranami nedojde v jednom dni, nabývá tento Dodatek č. 1 platnosti dnem podpisu poslední Smluvní stranou.</w:t>
      </w:r>
    </w:p>
    <w:p w14:paraId="0C0AF533" w14:textId="1413C9E6" w:rsidR="00ED0EF3" w:rsidRDefault="00C72A71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lastRenderedPageBreak/>
        <w:t>Tento Dodatek č. 1 nabývá účinnosti v souladu s ust. § 6 odst. 1 zákona č. 340/2015 Sb.,</w:t>
      </w:r>
      <w:r>
        <w:rPr>
          <w:rFonts w:cs="Arial"/>
          <w:b w:val="0"/>
          <w:bCs w:val="0"/>
          <w:sz w:val="20"/>
          <w:szCs w:val="20"/>
        </w:rPr>
        <w:br/>
        <w:t>o zvláštních podmínkách účinnosti smluv, uveřejňování těchto smluv a o registru smluv,</w:t>
      </w:r>
      <w:r>
        <w:rPr>
          <w:rFonts w:cs="Arial"/>
          <w:b w:val="0"/>
          <w:bCs w:val="0"/>
          <w:sz w:val="20"/>
          <w:szCs w:val="20"/>
        </w:rPr>
        <w:br/>
        <w:t>ve znění pozdějších předpisů, dnem uveřejnění v registru smluv Ministerstva vnitra ve smyslu</w:t>
      </w:r>
      <w:r>
        <w:rPr>
          <w:rFonts w:cs="Arial"/>
          <w:b w:val="0"/>
          <w:bCs w:val="0"/>
          <w:sz w:val="20"/>
          <w:szCs w:val="20"/>
        </w:rPr>
        <w:br/>
        <w:t xml:space="preserve">ust. § 4 citovaného zákona. Uveřejnění tohoto Dodatku č. 1 v registru smluv zajistí Objednatel a o této skutečnosti je povinen </w:t>
      </w:r>
      <w:r w:rsidR="00FA0F1F">
        <w:rPr>
          <w:rFonts w:cs="Arial"/>
          <w:b w:val="0"/>
          <w:bCs w:val="0"/>
          <w:sz w:val="20"/>
          <w:szCs w:val="20"/>
        </w:rPr>
        <w:t>Dodavatele</w:t>
      </w:r>
      <w:r>
        <w:rPr>
          <w:rFonts w:cs="Arial"/>
          <w:b w:val="0"/>
          <w:bCs w:val="0"/>
          <w:sz w:val="20"/>
          <w:szCs w:val="20"/>
        </w:rPr>
        <w:t xml:space="preserve"> bez zbytečného odkladu, nejpozději však </w:t>
      </w:r>
      <w:r>
        <w:rPr>
          <w:rFonts w:cs="Arial"/>
          <w:b w:val="0"/>
          <w:bCs w:val="0"/>
          <w:sz w:val="20"/>
          <w:szCs w:val="20"/>
        </w:rPr>
        <w:br/>
        <w:t>do 5 kalendářních dnů, písemně informovat.</w:t>
      </w:r>
    </w:p>
    <w:p w14:paraId="1B6D4ED8" w14:textId="77777777" w:rsidR="00ED0EF3" w:rsidRDefault="00C72A71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Tento Dodatek č. 1 je uzavírán v elektronické podobě,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4B767293" w14:textId="77777777" w:rsidR="00ED0EF3" w:rsidRDefault="00C72A71">
      <w:pPr>
        <w:pStyle w:val="Nadpis1"/>
        <w:keepNext w:val="0"/>
        <w:widowControl w:val="0"/>
        <w:numPr>
          <w:ilvl w:val="1"/>
          <w:numId w:val="2"/>
        </w:numPr>
        <w:spacing w:before="120" w:after="120" w:line="280" w:lineRule="atLeas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Smluvní strany prohlašují, že si tento Dodatek č. 1 řádně přečetly, že byl uzavřen podle jejich pravé a svobodné vůle, že s jeho obsahem souhlasí a na důkaz toho připojují jejich oprávnění zástupci své podpisy.</w:t>
      </w:r>
    </w:p>
    <w:p w14:paraId="1A165240" w14:textId="77777777" w:rsidR="00ED0EF3" w:rsidRDefault="00ED0EF3">
      <w:pPr>
        <w:spacing w:before="120" w:after="120" w:line="280" w:lineRule="atLeast"/>
        <w:jc w:val="both"/>
        <w:rPr>
          <w:rFonts w:ascii="Arial" w:hAnsi="Arial" w:cs="Arial"/>
          <w:bCs/>
          <w:kern w:val="32"/>
          <w:sz w:val="20"/>
          <w:szCs w:val="20"/>
          <w:lang w:eastAsia="cs-CZ"/>
        </w:rPr>
      </w:pPr>
    </w:p>
    <w:p w14:paraId="655E1F24" w14:textId="77777777" w:rsidR="00ED0EF3" w:rsidRDefault="00C72A71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Za Objednatele: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Za Dodavatele:</w:t>
      </w:r>
    </w:p>
    <w:p w14:paraId="66DD8344" w14:textId="77777777" w:rsidR="00ED0EF3" w:rsidRDefault="00ED0EF3">
      <w:pPr>
        <w:spacing w:after="120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</w:p>
    <w:tbl>
      <w:tblPr>
        <w:tblW w:w="9214" w:type="dxa"/>
        <w:tblLook w:val="00A0" w:firstRow="1" w:lastRow="0" w:firstColumn="1" w:lastColumn="0" w:noHBand="0" w:noVBand="0"/>
      </w:tblPr>
      <w:tblGrid>
        <w:gridCol w:w="4535"/>
        <w:gridCol w:w="4679"/>
      </w:tblGrid>
      <w:tr w:rsidR="00ED0EF3" w14:paraId="3A0F00D7" w14:textId="77777777" w:rsidTr="00641BB9">
        <w:tc>
          <w:tcPr>
            <w:tcW w:w="4535" w:type="dxa"/>
          </w:tcPr>
          <w:p w14:paraId="5B01A3B7" w14:textId="5213D2E9" w:rsidR="00ED0EF3" w:rsidRPr="00641BB9" w:rsidRDefault="00C72A71">
            <w:pPr>
              <w:spacing w:after="0" w:line="28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41BB9" w:rsidRPr="00641BB9">
              <w:rPr>
                <w:rFonts w:ascii="Arial" w:hAnsi="Arial" w:cs="Arial"/>
                <w:i/>
                <w:iCs/>
                <w:sz w:val="20"/>
                <w:szCs w:val="20"/>
              </w:rPr>
              <w:t>Elektronicky podepsáno dne DD. MM. YYYY</w:t>
            </w:r>
          </w:p>
        </w:tc>
        <w:tc>
          <w:tcPr>
            <w:tcW w:w="4679" w:type="dxa"/>
          </w:tcPr>
          <w:p w14:paraId="68F27F6A" w14:textId="71291723" w:rsidR="00ED0EF3" w:rsidRDefault="00C72A7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41BB9" w:rsidRPr="00641BB9">
              <w:rPr>
                <w:rFonts w:ascii="Arial" w:hAnsi="Arial" w:cs="Arial"/>
                <w:i/>
                <w:iCs/>
                <w:sz w:val="20"/>
                <w:szCs w:val="20"/>
              </w:rPr>
              <w:t>Elektronicky podepsáno dne DD. MM. YYYY</w:t>
            </w:r>
          </w:p>
        </w:tc>
      </w:tr>
      <w:tr w:rsidR="00ED0EF3" w14:paraId="621C1A70" w14:textId="77777777" w:rsidTr="00641BB9">
        <w:tc>
          <w:tcPr>
            <w:tcW w:w="4535" w:type="dxa"/>
          </w:tcPr>
          <w:p w14:paraId="6CA01131" w14:textId="77777777" w:rsidR="00ED0EF3" w:rsidRDefault="00ED0EF3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083E1" w14:textId="77777777" w:rsidR="00ED0EF3" w:rsidRDefault="00ED0EF3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B902AFA" w14:textId="77777777" w:rsidR="00ED0EF3" w:rsidRDefault="00ED0EF3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4CD834E" w14:textId="77777777" w:rsidR="00ED0EF3" w:rsidRDefault="00ED0EF3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2E994" w14:textId="77777777" w:rsidR="00ED0EF3" w:rsidRDefault="00C72A7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4B37ACFB" w14:textId="3E03A361" w:rsidR="00ED0EF3" w:rsidRDefault="00C72A71">
            <w:pPr>
              <w:spacing w:after="0" w:line="28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ČR </w:t>
            </w:r>
            <w:r w:rsidR="007F7220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Ministerstvo práce a sociálních věcí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4FE9306" w14:textId="445B4B70" w:rsidR="00ED0EF3" w:rsidRPr="003B3EBF" w:rsidRDefault="003B3EBF">
            <w:pPr>
              <w:spacing w:after="0" w:line="280" w:lineRule="atLeas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B3EB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neveřejný údaj</w:t>
            </w:r>
          </w:p>
          <w:p w14:paraId="655B43A4" w14:textId="77777777" w:rsidR="00ED0EF3" w:rsidRDefault="00ED0EF3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93ECB28" w14:textId="77777777" w:rsidR="00ED0EF3" w:rsidRDefault="00ED0EF3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</w:tcPr>
          <w:p w14:paraId="7904C2E7" w14:textId="77777777" w:rsidR="00ED0EF3" w:rsidRDefault="00ED0EF3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5FE0C" w14:textId="77777777" w:rsidR="00ED0EF3" w:rsidRDefault="00ED0EF3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DFDC03" w14:textId="77777777" w:rsidR="00ED0EF3" w:rsidRDefault="00ED0EF3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084E21" w14:textId="77777777" w:rsidR="00ED0EF3" w:rsidRDefault="00ED0EF3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AA4F89" w14:textId="77777777" w:rsidR="00ED0EF3" w:rsidRDefault="00C72A7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1ABA04E0" w14:textId="2DFD9146" w:rsidR="00ED0EF3" w:rsidRDefault="008F12CD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REMMARK, a.s.</w:t>
            </w:r>
          </w:p>
          <w:p w14:paraId="6D59D180" w14:textId="77777777" w:rsidR="00ED0EF3" w:rsidRDefault="00C72A71">
            <w:pPr>
              <w:spacing w:after="0" w:line="28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Ing. Roman Heřman</w:t>
            </w:r>
          </w:p>
          <w:p w14:paraId="29C70A52" w14:textId="77777777" w:rsidR="00ED0EF3" w:rsidRDefault="00C72A71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správní rady</w:t>
            </w:r>
          </w:p>
          <w:p w14:paraId="53E3B824" w14:textId="77777777" w:rsidR="00ED0EF3" w:rsidRDefault="00ED0EF3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2F20F6" w14:textId="77777777" w:rsidR="00ED0EF3" w:rsidRDefault="00ED0EF3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cs="Arial"/>
          <w:b w:val="0"/>
          <w:bCs w:val="0"/>
          <w:sz w:val="20"/>
          <w:szCs w:val="20"/>
        </w:rPr>
      </w:pPr>
    </w:p>
    <w:sectPr w:rsidR="00ED0EF3">
      <w:footerReference w:type="default" r:id="rId8"/>
      <w:pgSz w:w="11906" w:h="16838"/>
      <w:pgMar w:top="1418" w:right="1418" w:bottom="1418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8C36" w14:textId="77777777" w:rsidR="0031659A" w:rsidRDefault="0031659A">
      <w:pPr>
        <w:spacing w:after="0" w:line="240" w:lineRule="auto"/>
      </w:pPr>
      <w:r>
        <w:separator/>
      </w:r>
    </w:p>
  </w:endnote>
  <w:endnote w:type="continuationSeparator" w:id="0">
    <w:p w14:paraId="24D49B24" w14:textId="77777777" w:rsidR="0031659A" w:rsidRDefault="0031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E98A" w14:textId="77777777" w:rsidR="00ED0EF3" w:rsidRDefault="00C72A71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  <w:p w14:paraId="3F2201F7" w14:textId="77777777" w:rsidR="00ED0EF3" w:rsidRDefault="00ED0EF3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BD11" w14:textId="77777777" w:rsidR="0031659A" w:rsidRDefault="0031659A">
      <w:pPr>
        <w:spacing w:after="0" w:line="240" w:lineRule="auto"/>
      </w:pPr>
      <w:r>
        <w:separator/>
      </w:r>
    </w:p>
  </w:footnote>
  <w:footnote w:type="continuationSeparator" w:id="0">
    <w:p w14:paraId="7A70ED96" w14:textId="77777777" w:rsidR="0031659A" w:rsidRDefault="0031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B109B84"/>
    <w:lvl w:ilvl="0" w:tplc="6812D3FE">
      <w:start w:val="1"/>
      <w:numFmt w:val="lowerRoman"/>
      <w:lvlText w:val="%1."/>
      <w:lvlJc w:val="right"/>
      <w:pPr>
        <w:ind w:left="18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92" w:hanging="360"/>
      </w:pPr>
    </w:lvl>
    <w:lvl w:ilvl="2" w:tplc="0405001B" w:tentative="1">
      <w:start w:val="1"/>
      <w:numFmt w:val="lowerRoman"/>
      <w:lvlText w:val="%3."/>
      <w:lvlJc w:val="right"/>
      <w:pPr>
        <w:ind w:left="3312" w:hanging="180"/>
      </w:pPr>
    </w:lvl>
    <w:lvl w:ilvl="3" w:tplc="0405000F" w:tentative="1">
      <w:start w:val="1"/>
      <w:numFmt w:val="decimal"/>
      <w:lvlText w:val="%4."/>
      <w:lvlJc w:val="left"/>
      <w:pPr>
        <w:ind w:left="4032" w:hanging="360"/>
      </w:pPr>
    </w:lvl>
    <w:lvl w:ilvl="4" w:tplc="04050019" w:tentative="1">
      <w:start w:val="1"/>
      <w:numFmt w:val="lowerLetter"/>
      <w:lvlText w:val="%5."/>
      <w:lvlJc w:val="left"/>
      <w:pPr>
        <w:ind w:left="4752" w:hanging="360"/>
      </w:pPr>
    </w:lvl>
    <w:lvl w:ilvl="5" w:tplc="0405001B" w:tentative="1">
      <w:start w:val="1"/>
      <w:numFmt w:val="lowerRoman"/>
      <w:lvlText w:val="%6."/>
      <w:lvlJc w:val="right"/>
      <w:pPr>
        <w:ind w:left="5472" w:hanging="180"/>
      </w:pPr>
    </w:lvl>
    <w:lvl w:ilvl="6" w:tplc="0405000F" w:tentative="1">
      <w:start w:val="1"/>
      <w:numFmt w:val="decimal"/>
      <w:lvlText w:val="%7."/>
      <w:lvlJc w:val="left"/>
      <w:pPr>
        <w:ind w:left="6192" w:hanging="360"/>
      </w:pPr>
    </w:lvl>
    <w:lvl w:ilvl="7" w:tplc="04050019" w:tentative="1">
      <w:start w:val="1"/>
      <w:numFmt w:val="lowerLetter"/>
      <w:lvlText w:val="%8."/>
      <w:lvlJc w:val="left"/>
      <w:pPr>
        <w:ind w:left="6912" w:hanging="360"/>
      </w:pPr>
    </w:lvl>
    <w:lvl w:ilvl="8" w:tplc="040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 w15:restartNumberingAfterBreak="0">
    <w:nsid w:val="00000002"/>
    <w:multiLevelType w:val="hybridMultilevel"/>
    <w:tmpl w:val="1EF4E1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000003"/>
    <w:multiLevelType w:val="multilevel"/>
    <w:tmpl w:val="787ED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3C3C2D54"/>
    <w:lvl w:ilvl="0" w:tplc="D8C806E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C9A098E2"/>
    <w:lvl w:ilvl="0">
      <w:start w:val="2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" w15:restartNumberingAfterBreak="0">
    <w:nsid w:val="00000006"/>
    <w:multiLevelType w:val="hybridMultilevel"/>
    <w:tmpl w:val="CB109B84"/>
    <w:lvl w:ilvl="0" w:tplc="91A26CBA">
      <w:start w:val="1"/>
      <w:numFmt w:val="lowerRoman"/>
      <w:lvlText w:val="%1."/>
      <w:lvlJc w:val="right"/>
      <w:pPr>
        <w:ind w:left="1872" w:hanging="360"/>
      </w:pPr>
      <w:rPr>
        <w:rFonts w:hint="default"/>
      </w:rPr>
    </w:lvl>
    <w:lvl w:ilvl="1" w:tplc="72D84DF0" w:tentative="1">
      <w:start w:val="1"/>
      <w:numFmt w:val="lowerLetter"/>
      <w:lvlText w:val="%2."/>
      <w:lvlJc w:val="left"/>
      <w:pPr>
        <w:ind w:left="2592" w:hanging="360"/>
      </w:pPr>
    </w:lvl>
    <w:lvl w:ilvl="2" w:tplc="7CB00474" w:tentative="1">
      <w:start w:val="1"/>
      <w:numFmt w:val="lowerRoman"/>
      <w:lvlText w:val="%3."/>
      <w:lvlJc w:val="right"/>
      <w:pPr>
        <w:ind w:left="3312" w:hanging="180"/>
      </w:pPr>
    </w:lvl>
    <w:lvl w:ilvl="3" w:tplc="1ECA8E2C" w:tentative="1">
      <w:start w:val="1"/>
      <w:numFmt w:val="decimal"/>
      <w:lvlText w:val="%4."/>
      <w:lvlJc w:val="left"/>
      <w:pPr>
        <w:ind w:left="4032" w:hanging="360"/>
      </w:pPr>
    </w:lvl>
    <w:lvl w:ilvl="4" w:tplc="D4D449C8" w:tentative="1">
      <w:start w:val="1"/>
      <w:numFmt w:val="lowerLetter"/>
      <w:lvlText w:val="%5."/>
      <w:lvlJc w:val="left"/>
      <w:pPr>
        <w:ind w:left="4752" w:hanging="360"/>
      </w:pPr>
    </w:lvl>
    <w:lvl w:ilvl="5" w:tplc="F490C9EA" w:tentative="1">
      <w:start w:val="1"/>
      <w:numFmt w:val="lowerRoman"/>
      <w:lvlText w:val="%6."/>
      <w:lvlJc w:val="right"/>
      <w:pPr>
        <w:ind w:left="5472" w:hanging="180"/>
      </w:pPr>
    </w:lvl>
    <w:lvl w:ilvl="6" w:tplc="92F09A16" w:tentative="1">
      <w:start w:val="1"/>
      <w:numFmt w:val="decimal"/>
      <w:lvlText w:val="%7."/>
      <w:lvlJc w:val="left"/>
      <w:pPr>
        <w:ind w:left="6192" w:hanging="360"/>
      </w:pPr>
    </w:lvl>
    <w:lvl w:ilvl="7" w:tplc="E87214AE" w:tentative="1">
      <w:start w:val="1"/>
      <w:numFmt w:val="lowerLetter"/>
      <w:lvlText w:val="%8."/>
      <w:lvlJc w:val="left"/>
      <w:pPr>
        <w:ind w:left="6912" w:hanging="360"/>
      </w:pPr>
    </w:lvl>
    <w:lvl w:ilvl="8" w:tplc="9D58A858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" w15:restartNumberingAfterBreak="0">
    <w:nsid w:val="00000007"/>
    <w:multiLevelType w:val="hybridMultilevel"/>
    <w:tmpl w:val="E24C0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102A9D4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0000009"/>
    <w:multiLevelType w:val="multilevel"/>
    <w:tmpl w:val="1124CD9C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sz w:val="20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000000A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B109B84"/>
    <w:lvl w:ilvl="0" w:tplc="16CCFF92">
      <w:start w:val="1"/>
      <w:numFmt w:val="lowerRoman"/>
      <w:lvlText w:val="%1."/>
      <w:lvlJc w:val="right"/>
      <w:pPr>
        <w:ind w:left="1872" w:hanging="360"/>
      </w:pPr>
      <w:rPr>
        <w:rFonts w:hint="default"/>
      </w:rPr>
    </w:lvl>
    <w:lvl w:ilvl="1" w:tplc="191A7AE2" w:tentative="1">
      <w:start w:val="1"/>
      <w:numFmt w:val="lowerLetter"/>
      <w:lvlText w:val="%2."/>
      <w:lvlJc w:val="left"/>
      <w:pPr>
        <w:ind w:left="2592" w:hanging="360"/>
      </w:pPr>
    </w:lvl>
    <w:lvl w:ilvl="2" w:tplc="A6D6D43E" w:tentative="1">
      <w:start w:val="1"/>
      <w:numFmt w:val="lowerRoman"/>
      <w:lvlText w:val="%3."/>
      <w:lvlJc w:val="right"/>
      <w:pPr>
        <w:ind w:left="3312" w:hanging="180"/>
      </w:pPr>
    </w:lvl>
    <w:lvl w:ilvl="3" w:tplc="DEC0066A" w:tentative="1">
      <w:start w:val="1"/>
      <w:numFmt w:val="decimal"/>
      <w:lvlText w:val="%4."/>
      <w:lvlJc w:val="left"/>
      <w:pPr>
        <w:ind w:left="4032" w:hanging="360"/>
      </w:pPr>
    </w:lvl>
    <w:lvl w:ilvl="4" w:tplc="51A20512" w:tentative="1">
      <w:start w:val="1"/>
      <w:numFmt w:val="lowerLetter"/>
      <w:lvlText w:val="%5."/>
      <w:lvlJc w:val="left"/>
      <w:pPr>
        <w:ind w:left="4752" w:hanging="360"/>
      </w:pPr>
    </w:lvl>
    <w:lvl w:ilvl="5" w:tplc="C31A73D0" w:tentative="1">
      <w:start w:val="1"/>
      <w:numFmt w:val="lowerRoman"/>
      <w:lvlText w:val="%6."/>
      <w:lvlJc w:val="right"/>
      <w:pPr>
        <w:ind w:left="5472" w:hanging="180"/>
      </w:pPr>
    </w:lvl>
    <w:lvl w:ilvl="6" w:tplc="94087756" w:tentative="1">
      <w:start w:val="1"/>
      <w:numFmt w:val="decimal"/>
      <w:lvlText w:val="%7."/>
      <w:lvlJc w:val="left"/>
      <w:pPr>
        <w:ind w:left="6192" w:hanging="360"/>
      </w:pPr>
    </w:lvl>
    <w:lvl w:ilvl="7" w:tplc="9490D546" w:tentative="1">
      <w:start w:val="1"/>
      <w:numFmt w:val="lowerLetter"/>
      <w:lvlText w:val="%8."/>
      <w:lvlJc w:val="left"/>
      <w:pPr>
        <w:ind w:left="6912" w:hanging="360"/>
      </w:pPr>
    </w:lvl>
    <w:lvl w:ilvl="8" w:tplc="7B1EBC6A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0000000C"/>
    <w:multiLevelType w:val="multilevel"/>
    <w:tmpl w:val="04B88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Calibri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CB20001A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00000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left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left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0000011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00000012"/>
    <w:multiLevelType w:val="hybridMultilevel"/>
    <w:tmpl w:val="B53AE49E"/>
    <w:lvl w:ilvl="0" w:tplc="793E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19" w15:restartNumberingAfterBreak="0">
    <w:nsid w:val="00000014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0000015"/>
    <w:multiLevelType w:val="hybridMultilevel"/>
    <w:tmpl w:val="CB109B84"/>
    <w:lvl w:ilvl="0" w:tplc="2C2861A0">
      <w:start w:val="1"/>
      <w:numFmt w:val="lowerRoman"/>
      <w:lvlText w:val="%1."/>
      <w:lvlJc w:val="right"/>
      <w:pPr>
        <w:ind w:left="1872" w:hanging="360"/>
      </w:pPr>
      <w:rPr>
        <w:rFonts w:hint="default"/>
      </w:rPr>
    </w:lvl>
    <w:lvl w:ilvl="1" w:tplc="BD1EB24E" w:tentative="1">
      <w:start w:val="1"/>
      <w:numFmt w:val="lowerLetter"/>
      <w:lvlText w:val="%2."/>
      <w:lvlJc w:val="left"/>
      <w:pPr>
        <w:ind w:left="2592" w:hanging="360"/>
      </w:pPr>
    </w:lvl>
    <w:lvl w:ilvl="2" w:tplc="F52C5F68" w:tentative="1">
      <w:start w:val="1"/>
      <w:numFmt w:val="lowerRoman"/>
      <w:lvlText w:val="%3."/>
      <w:lvlJc w:val="right"/>
      <w:pPr>
        <w:ind w:left="3312" w:hanging="180"/>
      </w:pPr>
    </w:lvl>
    <w:lvl w:ilvl="3" w:tplc="89006DBA" w:tentative="1">
      <w:start w:val="1"/>
      <w:numFmt w:val="decimal"/>
      <w:lvlText w:val="%4."/>
      <w:lvlJc w:val="left"/>
      <w:pPr>
        <w:ind w:left="4032" w:hanging="360"/>
      </w:pPr>
    </w:lvl>
    <w:lvl w:ilvl="4" w:tplc="16A2824E" w:tentative="1">
      <w:start w:val="1"/>
      <w:numFmt w:val="lowerLetter"/>
      <w:lvlText w:val="%5."/>
      <w:lvlJc w:val="left"/>
      <w:pPr>
        <w:ind w:left="4752" w:hanging="360"/>
      </w:pPr>
    </w:lvl>
    <w:lvl w:ilvl="5" w:tplc="8A2092DC" w:tentative="1">
      <w:start w:val="1"/>
      <w:numFmt w:val="lowerRoman"/>
      <w:lvlText w:val="%6."/>
      <w:lvlJc w:val="right"/>
      <w:pPr>
        <w:ind w:left="5472" w:hanging="180"/>
      </w:pPr>
    </w:lvl>
    <w:lvl w:ilvl="6" w:tplc="9F72650A" w:tentative="1">
      <w:start w:val="1"/>
      <w:numFmt w:val="decimal"/>
      <w:lvlText w:val="%7."/>
      <w:lvlJc w:val="left"/>
      <w:pPr>
        <w:ind w:left="6192" w:hanging="360"/>
      </w:pPr>
    </w:lvl>
    <w:lvl w:ilvl="7" w:tplc="C20E189E" w:tentative="1">
      <w:start w:val="1"/>
      <w:numFmt w:val="lowerLetter"/>
      <w:lvlText w:val="%8."/>
      <w:lvlJc w:val="left"/>
      <w:pPr>
        <w:ind w:left="6912" w:hanging="360"/>
      </w:pPr>
    </w:lvl>
    <w:lvl w:ilvl="8" w:tplc="CEA630E6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1" w15:restartNumberingAfterBreak="0">
    <w:nsid w:val="00000016"/>
    <w:multiLevelType w:val="hybridMultilevel"/>
    <w:tmpl w:val="79C61E30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CDC6680"/>
    <w:multiLevelType w:val="hybridMultilevel"/>
    <w:tmpl w:val="CB109B84"/>
    <w:lvl w:ilvl="0" w:tplc="A47CD174">
      <w:start w:val="1"/>
      <w:numFmt w:val="lowerRoman"/>
      <w:lvlText w:val="%1."/>
      <w:lvlJc w:val="right"/>
      <w:pPr>
        <w:ind w:left="1872" w:hanging="360"/>
      </w:pPr>
      <w:rPr>
        <w:rFonts w:hint="default"/>
      </w:rPr>
    </w:lvl>
    <w:lvl w:ilvl="1" w:tplc="0DBC255E" w:tentative="1">
      <w:start w:val="1"/>
      <w:numFmt w:val="lowerLetter"/>
      <w:lvlText w:val="%2."/>
      <w:lvlJc w:val="left"/>
      <w:pPr>
        <w:ind w:left="2592" w:hanging="360"/>
      </w:pPr>
    </w:lvl>
    <w:lvl w:ilvl="2" w:tplc="D24C3B80" w:tentative="1">
      <w:start w:val="1"/>
      <w:numFmt w:val="lowerRoman"/>
      <w:lvlText w:val="%3."/>
      <w:lvlJc w:val="right"/>
      <w:pPr>
        <w:ind w:left="3312" w:hanging="180"/>
      </w:pPr>
    </w:lvl>
    <w:lvl w:ilvl="3" w:tplc="EB1E7004" w:tentative="1">
      <w:start w:val="1"/>
      <w:numFmt w:val="decimal"/>
      <w:lvlText w:val="%4."/>
      <w:lvlJc w:val="left"/>
      <w:pPr>
        <w:ind w:left="4032" w:hanging="360"/>
      </w:pPr>
    </w:lvl>
    <w:lvl w:ilvl="4" w:tplc="A9849E34" w:tentative="1">
      <w:start w:val="1"/>
      <w:numFmt w:val="lowerLetter"/>
      <w:lvlText w:val="%5."/>
      <w:lvlJc w:val="left"/>
      <w:pPr>
        <w:ind w:left="4752" w:hanging="360"/>
      </w:pPr>
    </w:lvl>
    <w:lvl w:ilvl="5" w:tplc="B0BEF112" w:tentative="1">
      <w:start w:val="1"/>
      <w:numFmt w:val="lowerRoman"/>
      <w:lvlText w:val="%6."/>
      <w:lvlJc w:val="right"/>
      <w:pPr>
        <w:ind w:left="5472" w:hanging="180"/>
      </w:pPr>
    </w:lvl>
    <w:lvl w:ilvl="6" w:tplc="CBD659FE" w:tentative="1">
      <w:start w:val="1"/>
      <w:numFmt w:val="decimal"/>
      <w:lvlText w:val="%7."/>
      <w:lvlJc w:val="left"/>
      <w:pPr>
        <w:ind w:left="6192" w:hanging="360"/>
      </w:pPr>
    </w:lvl>
    <w:lvl w:ilvl="7" w:tplc="01E4E73C" w:tentative="1">
      <w:start w:val="1"/>
      <w:numFmt w:val="lowerLetter"/>
      <w:lvlText w:val="%8."/>
      <w:lvlJc w:val="left"/>
      <w:pPr>
        <w:ind w:left="6912" w:hanging="360"/>
      </w:pPr>
    </w:lvl>
    <w:lvl w:ilvl="8" w:tplc="A8D6969E" w:tentative="1">
      <w:start w:val="1"/>
      <w:numFmt w:val="lowerRoman"/>
      <w:lvlText w:val="%9."/>
      <w:lvlJc w:val="right"/>
      <w:pPr>
        <w:ind w:left="7632" w:hanging="180"/>
      </w:pPr>
    </w:lvl>
  </w:abstractNum>
  <w:num w:numId="1" w16cid:durableId="1142691534">
    <w:abstractNumId w:val="18"/>
  </w:num>
  <w:num w:numId="2" w16cid:durableId="822965614">
    <w:abstractNumId w:val="11"/>
  </w:num>
  <w:num w:numId="3" w16cid:durableId="2092314654">
    <w:abstractNumId w:val="13"/>
  </w:num>
  <w:num w:numId="4" w16cid:durableId="689376658">
    <w:abstractNumId w:val="18"/>
  </w:num>
  <w:num w:numId="5" w16cid:durableId="380860564">
    <w:abstractNumId w:val="18"/>
  </w:num>
  <w:num w:numId="6" w16cid:durableId="1222516716">
    <w:abstractNumId w:val="18"/>
  </w:num>
  <w:num w:numId="7" w16cid:durableId="1972588219">
    <w:abstractNumId w:val="18"/>
  </w:num>
  <w:num w:numId="8" w16cid:durableId="1783302568">
    <w:abstractNumId w:val="9"/>
  </w:num>
  <w:num w:numId="9" w16cid:durableId="899748078">
    <w:abstractNumId w:val="19"/>
  </w:num>
  <w:num w:numId="10" w16cid:durableId="1488089544">
    <w:abstractNumId w:val="15"/>
  </w:num>
  <w:num w:numId="11" w16cid:durableId="1401976022">
    <w:abstractNumId w:val="16"/>
  </w:num>
  <w:num w:numId="12" w16cid:durableId="1092362583">
    <w:abstractNumId w:val="14"/>
  </w:num>
  <w:num w:numId="13" w16cid:durableId="1452283839">
    <w:abstractNumId w:val="18"/>
  </w:num>
  <w:num w:numId="14" w16cid:durableId="586962748">
    <w:abstractNumId w:val="18"/>
  </w:num>
  <w:num w:numId="15" w16cid:durableId="1535388983">
    <w:abstractNumId w:val="18"/>
  </w:num>
  <w:num w:numId="16" w16cid:durableId="1048988250">
    <w:abstractNumId w:val="18"/>
  </w:num>
  <w:num w:numId="17" w16cid:durableId="801852075">
    <w:abstractNumId w:val="18"/>
  </w:num>
  <w:num w:numId="18" w16cid:durableId="931861959">
    <w:abstractNumId w:val="12"/>
  </w:num>
  <w:num w:numId="19" w16cid:durableId="1270242563">
    <w:abstractNumId w:val="8"/>
  </w:num>
  <w:num w:numId="20" w16cid:durableId="1204097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1401403">
    <w:abstractNumId w:val="3"/>
  </w:num>
  <w:num w:numId="22" w16cid:durableId="836187236">
    <w:abstractNumId w:val="17"/>
  </w:num>
  <w:num w:numId="23" w16cid:durableId="1553611308">
    <w:abstractNumId w:val="21"/>
  </w:num>
  <w:num w:numId="24" w16cid:durableId="897590669">
    <w:abstractNumId w:val="1"/>
  </w:num>
  <w:num w:numId="25" w16cid:durableId="987981179">
    <w:abstractNumId w:val="7"/>
  </w:num>
  <w:num w:numId="26" w16cid:durableId="1246068338">
    <w:abstractNumId w:val="6"/>
  </w:num>
  <w:num w:numId="27" w16cid:durableId="1706786738">
    <w:abstractNumId w:val="18"/>
  </w:num>
  <w:num w:numId="28" w16cid:durableId="1270162220">
    <w:abstractNumId w:val="4"/>
  </w:num>
  <w:num w:numId="29" w16cid:durableId="1250117202">
    <w:abstractNumId w:val="18"/>
  </w:num>
  <w:num w:numId="30" w16cid:durableId="602227004">
    <w:abstractNumId w:val="2"/>
  </w:num>
  <w:num w:numId="31" w16cid:durableId="2047943488">
    <w:abstractNumId w:val="0"/>
  </w:num>
  <w:num w:numId="32" w16cid:durableId="1499996805">
    <w:abstractNumId w:val="20"/>
  </w:num>
  <w:num w:numId="33" w16cid:durableId="1044674943">
    <w:abstractNumId w:val="22"/>
  </w:num>
  <w:num w:numId="34" w16cid:durableId="1682272624">
    <w:abstractNumId w:val="5"/>
  </w:num>
  <w:num w:numId="35" w16cid:durableId="171115384">
    <w:abstractNumId w:val="10"/>
  </w:num>
  <w:num w:numId="36" w16cid:durableId="1086732580">
    <w:abstractNumId w:val="18"/>
  </w:num>
  <w:num w:numId="37" w16cid:durableId="1579484549">
    <w:abstractNumId w:val="18"/>
  </w:num>
  <w:num w:numId="38" w16cid:durableId="83915660">
    <w:abstractNumId w:val="18"/>
  </w:num>
  <w:num w:numId="39" w16cid:durableId="15375401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F3"/>
    <w:rsid w:val="000B4BAF"/>
    <w:rsid w:val="0031659A"/>
    <w:rsid w:val="00324B8F"/>
    <w:rsid w:val="003B3EBF"/>
    <w:rsid w:val="003D154B"/>
    <w:rsid w:val="00430A4B"/>
    <w:rsid w:val="00495BE2"/>
    <w:rsid w:val="00641BB9"/>
    <w:rsid w:val="006C187F"/>
    <w:rsid w:val="007F7220"/>
    <w:rsid w:val="00805398"/>
    <w:rsid w:val="008806DB"/>
    <w:rsid w:val="008F12CD"/>
    <w:rsid w:val="0096585E"/>
    <w:rsid w:val="009D7A13"/>
    <w:rsid w:val="00AC17CF"/>
    <w:rsid w:val="00C72A71"/>
    <w:rsid w:val="00CD2397"/>
    <w:rsid w:val="00ED0EF3"/>
    <w:rsid w:val="00F20F68"/>
    <w:rsid w:val="00FA0F1F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04F2F"/>
  <w15:docId w15:val="{342F5FD4-8E2E-439B-B39D-779260CB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uiPriority w:val="99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240" w:lineRule="auto"/>
    </w:pPr>
    <w:rPr>
      <w:rFonts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1DB9A34-EBE9-4774-AED3-BA9EF368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Beránek Jan Bc. (MPSV)</cp:lastModifiedBy>
  <cp:revision>4</cp:revision>
  <cp:lastPrinted>2024-06-21T11:11:00Z</cp:lastPrinted>
  <dcterms:created xsi:type="dcterms:W3CDTF">2025-05-08T18:44:00Z</dcterms:created>
  <dcterms:modified xsi:type="dcterms:W3CDTF">2025-05-08T18:45:00Z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b65c26a8371541e38f2a5d178ffe12d5</vt:lpwstr>
  </property>
</Properties>
</file>