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1240600080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Bítouchov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631"/>
        <w:jc w:val="left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Bítouchov,</w:t>
      </w:r>
      <w:r>
        <w:rPr>
          <w:spacing w:val="-5"/>
        </w:rPr>
        <w:t> </w:t>
      </w:r>
      <w:r>
        <w:rPr/>
        <w:t>Bítouchov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10,</w:t>
      </w:r>
      <w:r>
        <w:rPr>
          <w:spacing w:val="-5"/>
        </w:rPr>
        <w:t> </w:t>
      </w:r>
      <w:r>
        <w:rPr/>
        <w:t>294</w:t>
      </w:r>
      <w:r>
        <w:rPr>
          <w:spacing w:val="-2"/>
        </w:rPr>
        <w:t> </w:t>
      </w:r>
      <w:r>
        <w:rPr/>
        <w:t>01</w:t>
      </w:r>
      <w:r>
        <w:rPr>
          <w:spacing w:val="-3"/>
        </w:rPr>
        <w:t> </w:t>
      </w:r>
      <w:r>
        <w:rPr/>
        <w:t>Bakov</w:t>
      </w:r>
      <w:r>
        <w:rPr>
          <w:spacing w:val="-4"/>
        </w:rPr>
        <w:t> </w:t>
      </w:r>
      <w:r>
        <w:rPr/>
        <w:t>nad</w:t>
      </w:r>
      <w:r>
        <w:rPr>
          <w:spacing w:val="-5"/>
        </w:rPr>
        <w:t> </w:t>
      </w:r>
      <w:r>
        <w:rPr/>
        <w:t>Jizerou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00237477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Radkem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č k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94-6011181/0710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0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1240600080 o poskytnutí finančních prostředků ze Státního fondu životního prostředí ČR ze dne 23.</w:t>
      </w:r>
      <w:r>
        <w:rPr>
          <w:spacing w:val="-1"/>
        </w:rPr>
        <w:t> </w:t>
      </w:r>
      <w:r>
        <w:rPr/>
        <w:t>7.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1"/>
        </w:rPr>
        <w:t> </w:t>
      </w:r>
      <w:r>
        <w:rPr/>
        <w:t>republiky</w:t>
      </w:r>
      <w:r>
        <w:rPr>
          <w:spacing w:val="23"/>
        </w:rPr>
        <w:t> </w:t>
      </w:r>
      <w:r>
        <w:rPr/>
        <w:t>prostřednictvím</w:t>
      </w:r>
      <w:r>
        <w:rPr>
          <w:spacing w:val="21"/>
        </w:rPr>
        <w:t> </w:t>
      </w:r>
      <w:r>
        <w:rPr/>
        <w:t>Národního</w:t>
      </w:r>
      <w:r>
        <w:rPr>
          <w:spacing w:val="23"/>
        </w:rPr>
        <w:t> </w:t>
      </w:r>
      <w:r>
        <w:rPr/>
        <w:t>programu</w:t>
      </w:r>
      <w:r>
        <w:rPr>
          <w:spacing w:val="23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2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6/2024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089"/>
        <w:jc w:val="both"/>
      </w:pPr>
      <w:r>
        <w:rPr/>
        <w:t>„Dolánky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výstavba</w:t>
      </w:r>
      <w:r>
        <w:rPr>
          <w:spacing w:val="-7"/>
        </w:rPr>
        <w:t> </w:t>
      </w:r>
      <w:r>
        <w:rPr/>
        <w:t>veřejného</w:t>
      </w:r>
      <w:r>
        <w:rPr>
          <w:spacing w:val="-7"/>
        </w:rPr>
        <w:t> </w:t>
      </w:r>
      <w:r>
        <w:rPr>
          <w:spacing w:val="-2"/>
        </w:rPr>
        <w:t>vodovodu“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20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097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855,66 Kč </w:t>
      </w:r>
      <w:r>
        <w:rPr>
          <w:sz w:val="20"/>
        </w:rPr>
        <w:t>(slovy: dvacet milionů devadesát sedm tisíc osm set padesát pět korun českých, šedesát šest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33 496 426,11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stavební</w:t>
      </w:r>
      <w:r>
        <w:rPr>
          <w:spacing w:val="-5"/>
          <w:sz w:val="20"/>
        </w:rPr>
        <w:t> </w:t>
      </w:r>
      <w:r>
        <w:rPr>
          <w:sz w:val="20"/>
        </w:rPr>
        <w:t>práce a dodávky v přímé vazbě na daný projekt, které jsou nezbytné pro jeho úspěšnou 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9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došlo k</w:t>
      </w:r>
      <w:r>
        <w:rPr>
          <w:spacing w:val="-1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</w:t>
      </w:r>
      <w:r>
        <w:rPr>
          <w:spacing w:val="-1"/>
          <w:sz w:val="20"/>
        </w:rPr>
        <w:t> </w:t>
      </w:r>
      <w:r>
        <w:rPr>
          <w:sz w:val="20"/>
        </w:rPr>
        <w:t>závazků) vzniklých na základě smluvního vztahu mezi příjemcem faktury a fakturujícím zhotovitelem, podepsanou příjemcem podpory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 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2"/>
          <w:sz w:val="20"/>
        </w:rPr>
        <w:t> </w:t>
      </w:r>
      <w:r>
        <w:rPr>
          <w:sz w:val="20"/>
        </w:rPr>
        <w:t>dohoda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6"/>
        <w:ind w:left="0"/>
        <w:jc w:val="left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splní účel akce „Dolánky - výstavba veřejného vodovodu“ tím, že akce bude provedena v souladu se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7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vodovodu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2,41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nově připojeno 61 obyvatel na vodovod a 61 obyvatel bude připojeno na zlepšené zásobování pitnou vodou,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1"/>
          <w:sz w:val="20"/>
        </w:rPr>
        <w:t> </w:t>
      </w:r>
      <w:r>
        <w:rPr>
          <w:sz w:val="20"/>
        </w:rPr>
        <w:t>po</w:t>
      </w:r>
      <w:r>
        <w:rPr>
          <w:spacing w:val="22"/>
          <w:sz w:val="20"/>
        </w:rPr>
        <w:t> </w:t>
      </w:r>
      <w:r>
        <w:rPr>
          <w:sz w:val="20"/>
        </w:rPr>
        <w:t>dokončení</w:t>
      </w:r>
      <w:r>
        <w:rPr>
          <w:spacing w:val="21"/>
          <w:sz w:val="20"/>
        </w:rPr>
        <w:t> </w:t>
      </w:r>
      <w:r>
        <w:rPr>
          <w:sz w:val="20"/>
        </w:rPr>
        <w:t>projektu</w:t>
      </w:r>
      <w:r>
        <w:rPr>
          <w:spacing w:val="20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dodávaná</w:t>
      </w:r>
      <w:r>
        <w:rPr>
          <w:spacing w:val="20"/>
          <w:sz w:val="20"/>
        </w:rPr>
        <w:t> </w:t>
      </w:r>
      <w:r>
        <w:rPr>
          <w:sz w:val="20"/>
        </w:rPr>
        <w:t>pitná</w:t>
      </w:r>
      <w:r>
        <w:rPr>
          <w:spacing w:val="20"/>
          <w:sz w:val="20"/>
        </w:rPr>
        <w:t> </w:t>
      </w:r>
      <w:r>
        <w:rPr>
          <w:sz w:val="20"/>
        </w:rPr>
        <w:t>voda</w:t>
      </w:r>
      <w:r>
        <w:rPr>
          <w:spacing w:val="20"/>
          <w:sz w:val="20"/>
        </w:rPr>
        <w:t> </w:t>
      </w:r>
      <w:r>
        <w:rPr>
          <w:sz w:val="20"/>
        </w:rPr>
        <w:t>splňovat</w:t>
      </w:r>
      <w:r>
        <w:rPr>
          <w:spacing w:val="20"/>
          <w:sz w:val="20"/>
        </w:rPr>
        <w:t> </w:t>
      </w:r>
      <w:r>
        <w:rPr>
          <w:sz w:val="20"/>
        </w:rPr>
        <w:t>hygienické</w:t>
      </w:r>
      <w:r>
        <w:rPr>
          <w:spacing w:val="20"/>
          <w:sz w:val="20"/>
        </w:rPr>
        <w:t> </w:t>
      </w:r>
      <w:r>
        <w:rPr>
          <w:sz w:val="20"/>
        </w:rPr>
        <w:t>požadavky v souladu s platnou legislativou ČR. Likvidace odpadních vod v řešené lokalitě bude v souladu se zákonem</w:t>
      </w:r>
      <w:r>
        <w:rPr>
          <w:spacing w:val="36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254/2001</w:t>
      </w:r>
      <w:r>
        <w:rPr>
          <w:spacing w:val="38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vodní</w:t>
      </w:r>
      <w:r>
        <w:rPr>
          <w:spacing w:val="38"/>
          <w:sz w:val="20"/>
        </w:rPr>
        <w:t> </w:t>
      </w:r>
      <w:r>
        <w:rPr>
          <w:sz w:val="20"/>
        </w:rPr>
        <w:t>zákon,</w:t>
      </w:r>
      <w:r>
        <w:rPr>
          <w:spacing w:val="38"/>
          <w:sz w:val="20"/>
        </w:rPr>
        <w:t> </w:t>
      </w:r>
      <w:r>
        <w:rPr>
          <w:sz w:val="20"/>
        </w:rPr>
        <w:t>v</w:t>
      </w:r>
      <w:r>
        <w:rPr>
          <w:spacing w:val="38"/>
          <w:sz w:val="20"/>
        </w:rPr>
        <w:t> </w:t>
      </w:r>
      <w:r>
        <w:rPr>
          <w:sz w:val="20"/>
        </w:rPr>
        <w:t>platném</w:t>
      </w:r>
      <w:r>
        <w:rPr>
          <w:spacing w:val="36"/>
          <w:sz w:val="20"/>
        </w:rPr>
        <w:t> </w:t>
      </w:r>
      <w:r>
        <w:rPr>
          <w:sz w:val="20"/>
        </w:rPr>
        <w:t>znění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jeho</w:t>
      </w:r>
      <w:r>
        <w:rPr>
          <w:spacing w:val="39"/>
          <w:sz w:val="20"/>
        </w:rPr>
        <w:t> </w:t>
      </w:r>
      <w:r>
        <w:rPr>
          <w:sz w:val="20"/>
        </w:rPr>
        <w:t>prováděcími</w:t>
      </w:r>
      <w:r>
        <w:rPr>
          <w:spacing w:val="37"/>
          <w:sz w:val="20"/>
        </w:rPr>
        <w:t> </w:t>
      </w:r>
      <w:r>
        <w:rPr>
          <w:sz w:val="20"/>
        </w:rPr>
        <w:t>předpisy.</w:t>
      </w:r>
      <w:r>
        <w:rPr>
          <w:spacing w:val="37"/>
          <w:sz w:val="20"/>
        </w:rPr>
        <w:t> </w:t>
      </w:r>
      <w:r>
        <w:rPr>
          <w:sz w:val="20"/>
        </w:rPr>
        <w:t>Po</w:t>
      </w:r>
      <w:r>
        <w:rPr>
          <w:spacing w:val="38"/>
          <w:sz w:val="20"/>
        </w:rPr>
        <w:t> </w:t>
      </w:r>
      <w:r>
        <w:rPr>
          <w:sz w:val="20"/>
        </w:rPr>
        <w:t>dobu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/>
        <w:jc w:val="left"/>
      </w:pPr>
      <w:r>
        <w:rPr/>
        <w:t>udržitelnosti projektu budou na vyžádání poskytovatele dotace doloženy doklady o řádné likvidaci odpadních vod v dané lokalitě,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7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 termín</w:t>
      </w:r>
      <w:r>
        <w:rPr>
          <w:spacing w:val="-2"/>
          <w:sz w:val="20"/>
        </w:rPr>
        <w:t> </w:t>
      </w:r>
      <w:r>
        <w:rPr>
          <w:sz w:val="20"/>
        </w:rPr>
        <w:t>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3"/>
          <w:sz w:val="20"/>
        </w:rPr>
        <w:t> </w:t>
      </w:r>
      <w:r>
        <w:rPr>
          <w:sz w:val="20"/>
        </w:rPr>
        <w:t>účel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3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5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4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n)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348"/>
        <w:jc w:val="both"/>
        <w:rPr>
          <w:sz w:val="20"/>
        </w:rPr>
      </w:pPr>
      <w:r>
        <w:rPr>
          <w:sz w:val="20"/>
        </w:rPr>
        <w:t>se zavazuje dokončit projekt do konce 2/2027 a o dodržení tohoto termínu Fond bez zbytečného odkladu</w:t>
      </w:r>
      <w:r>
        <w:rPr>
          <w:spacing w:val="-12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(za</w:t>
      </w:r>
      <w:r>
        <w:rPr>
          <w:spacing w:val="-13"/>
          <w:sz w:val="20"/>
        </w:rPr>
        <w:t> </w:t>
      </w:r>
      <w:r>
        <w:rPr>
          <w:sz w:val="20"/>
        </w:rPr>
        <w:t>termín</w:t>
      </w:r>
      <w:r>
        <w:rPr>
          <w:spacing w:val="-1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považuje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9"/>
          <w:sz w:val="20"/>
        </w:rPr>
        <w:t> </w:t>
      </w:r>
      <w:r>
        <w:rPr>
          <w:sz w:val="20"/>
        </w:rPr>
        <w:t>vydání</w:t>
      </w:r>
      <w:r>
        <w:rPr>
          <w:spacing w:val="-13"/>
          <w:sz w:val="20"/>
        </w:rPr>
        <w:t> </w:t>
      </w:r>
      <w:r>
        <w:rPr>
          <w:sz w:val="20"/>
        </w:rPr>
        <w:t>kolaudačního</w:t>
      </w:r>
      <w:r>
        <w:rPr>
          <w:spacing w:val="-10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oznámení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příslušných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183/2006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územním plánování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stavebním</w:t>
      </w:r>
      <w:r>
        <w:rPr>
          <w:spacing w:val="-13"/>
          <w:sz w:val="20"/>
        </w:rPr>
        <w:t> </w:t>
      </w:r>
      <w:r>
        <w:rPr>
          <w:sz w:val="20"/>
        </w:rPr>
        <w:t>řádu,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schválení</w:t>
      </w:r>
      <w:r>
        <w:rPr>
          <w:spacing w:val="-11"/>
          <w:sz w:val="20"/>
        </w:rPr>
        <w:t> </w:t>
      </w:r>
      <w:r>
        <w:rPr>
          <w:sz w:val="20"/>
        </w:rPr>
        <w:t>protokolu</w:t>
      </w:r>
      <w:r>
        <w:rPr>
          <w:spacing w:val="-12"/>
          <w:sz w:val="20"/>
        </w:rPr>
        <w:t> </w:t>
      </w:r>
      <w:r>
        <w:rPr>
          <w:sz w:val="20"/>
        </w:rPr>
        <w:t>o předání a</w:t>
      </w:r>
      <w:r>
        <w:rPr>
          <w:spacing w:val="-4"/>
          <w:sz w:val="20"/>
        </w:rPr>
        <w:t> </w:t>
      </w:r>
      <w:r>
        <w:rPr>
          <w:sz w:val="20"/>
        </w:rPr>
        <w:t>převzetí</w:t>
      </w:r>
      <w:r>
        <w:rPr>
          <w:spacing w:val="-3"/>
          <w:sz w:val="20"/>
        </w:rPr>
        <w:t> </w:t>
      </w:r>
      <w:r>
        <w:rPr>
          <w:sz w:val="20"/>
        </w:rPr>
        <w:t>díla,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4"/>
          <w:sz w:val="20"/>
        </w:rPr>
        <w:t> </w:t>
      </w:r>
      <w:r>
        <w:rPr>
          <w:sz w:val="20"/>
        </w:rPr>
        <w:t>jiný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charakteru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(v</w:t>
      </w:r>
      <w:r>
        <w:rPr>
          <w:spacing w:val="-3"/>
          <w:sz w:val="20"/>
        </w:rPr>
        <w:t> </w:t>
      </w:r>
      <w:r>
        <w:rPr>
          <w:sz w:val="20"/>
        </w:rPr>
        <w:t>případech,</w:t>
      </w:r>
      <w:r>
        <w:rPr>
          <w:spacing w:val="-3"/>
          <w:sz w:val="20"/>
        </w:rPr>
        <w:t> </w:t>
      </w:r>
      <w:r>
        <w:rPr>
          <w:sz w:val="20"/>
        </w:rPr>
        <w:t>kde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na realizaci</w:t>
      </w:r>
      <w:r>
        <w:rPr>
          <w:spacing w:val="-4"/>
          <w:sz w:val="20"/>
        </w:rPr>
        <w:t> </w:t>
      </w:r>
      <w:r>
        <w:rPr>
          <w:sz w:val="20"/>
        </w:rPr>
        <w:t>projektu nevyžaduje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7"/>
          <w:sz w:val="20"/>
        </w:rPr>
        <w:t> </w:t>
      </w:r>
      <w:r>
        <w:rPr>
          <w:sz w:val="20"/>
        </w:rPr>
        <w:t>povolení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kolaudační</w:t>
      </w:r>
      <w:r>
        <w:rPr>
          <w:spacing w:val="-7"/>
          <w:sz w:val="20"/>
        </w:rPr>
        <w:t> </w:t>
      </w:r>
      <w:r>
        <w:rPr>
          <w:sz w:val="20"/>
        </w:rPr>
        <w:t>rozhodnutí).</w:t>
      </w:r>
      <w:r>
        <w:rPr>
          <w:spacing w:val="-7"/>
          <w:sz w:val="20"/>
        </w:rPr>
        <w:t> </w:t>
      </w:r>
      <w:r>
        <w:rPr>
          <w:sz w:val="20"/>
        </w:rPr>
        <w:t>Bude-li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akci</w:t>
      </w:r>
      <w:r>
        <w:rPr>
          <w:spacing w:val="-6"/>
          <w:sz w:val="20"/>
        </w:rPr>
        <w:t> </w:t>
      </w:r>
      <w:r>
        <w:rPr>
          <w:sz w:val="20"/>
        </w:rPr>
        <w:t>vydáno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6"/>
          <w:sz w:val="20"/>
        </w:rPr>
        <w:t> </w:t>
      </w:r>
      <w:r>
        <w:rPr>
          <w:sz w:val="20"/>
        </w:rPr>
        <w:t>o užívání stavby, považuje se za termín ukončení akce datum dokumentu vydaného později.</w:t>
      </w:r>
    </w:p>
    <w:p>
      <w:pPr>
        <w:pStyle w:val="BodyText"/>
        <w:spacing w:before="118"/>
        <w:ind w:left="948" w:right="117"/>
      </w:pPr>
      <w:r>
        <w:rPr/>
        <w:t>V případě, že termín dokončení projektu uplynul před uzavřením této Smlouvy, příjemce podpory prohlašuje,</w:t>
      </w:r>
      <w:r>
        <w:rPr>
          <w:spacing w:val="2"/>
        </w:rPr>
        <w:t> </w:t>
      </w:r>
      <w:r>
        <w:rPr/>
        <w:t>že</w:t>
      </w:r>
      <w:r>
        <w:rPr>
          <w:spacing w:val="2"/>
        </w:rPr>
        <w:t> </w:t>
      </w:r>
      <w:r>
        <w:rPr/>
        <w:t>byla</w:t>
      </w:r>
      <w:r>
        <w:rPr>
          <w:spacing w:val="1"/>
        </w:rPr>
        <w:t> </w:t>
      </w:r>
      <w:r>
        <w:rPr/>
        <w:t>dodržena</w:t>
      </w:r>
      <w:r>
        <w:rPr>
          <w:spacing w:val="2"/>
        </w:rPr>
        <w:t> </w:t>
      </w:r>
      <w:r>
        <w:rPr/>
        <w:t>ustanovení</w:t>
      </w:r>
      <w:r>
        <w:rPr>
          <w:spacing w:val="4"/>
        </w:rPr>
        <w:t> </w:t>
      </w:r>
      <w:r>
        <w:rPr/>
        <w:t>Směrnice</w:t>
      </w:r>
      <w:r>
        <w:rPr>
          <w:spacing w:val="2"/>
        </w:rPr>
        <w:t> </w:t>
      </w:r>
      <w:r>
        <w:rPr/>
        <w:t>MŽP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Výzvy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/>
        <w:t>bere</w:t>
      </w:r>
      <w:r>
        <w:rPr>
          <w:spacing w:val="1"/>
        </w:rPr>
        <w:t> </w:t>
      </w:r>
      <w:r>
        <w:rPr/>
        <w:t>přitom</w:t>
      </w:r>
      <w:r>
        <w:rPr>
          <w:spacing w:val="2"/>
        </w:rPr>
        <w:t> </w:t>
      </w:r>
      <w:r>
        <w:rPr/>
        <w:t>na</w:t>
      </w:r>
      <w:r>
        <w:rPr>
          <w:spacing w:val="3"/>
        </w:rPr>
        <w:t> </w:t>
      </w:r>
      <w:r>
        <w:rPr/>
        <w:t>vědomí,</w:t>
      </w:r>
      <w:r>
        <w:rPr>
          <w:spacing w:val="3"/>
        </w:rPr>
        <w:t> </w:t>
      </w:r>
      <w:r>
        <w:rPr/>
        <w:t>že</w:t>
      </w:r>
      <w:r>
        <w:rPr>
          <w:spacing w:val="1"/>
        </w:rPr>
        <w:t> </w:t>
      </w:r>
      <w:r>
        <w:rPr>
          <w:spacing w:val="-2"/>
        </w:rPr>
        <w:t>pokud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 w:right="112"/>
      </w:pPr>
      <w:r>
        <w:rPr/>
        <w:t>toto</w:t>
      </w:r>
      <w:r>
        <w:rPr>
          <w:spacing w:val="-5"/>
        </w:rPr>
        <w:t> </w:t>
      </w:r>
      <w:r>
        <w:rPr/>
        <w:t>prohlášení</w:t>
      </w:r>
      <w:r>
        <w:rPr>
          <w:spacing w:val="-6"/>
        </w:rPr>
        <w:t> </w:t>
      </w:r>
      <w:r>
        <w:rPr/>
        <w:t>není</w:t>
      </w:r>
      <w:r>
        <w:rPr>
          <w:spacing w:val="-6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4"/>
        </w:rPr>
        <w:t> </w:t>
      </w:r>
      <w:r>
        <w:rPr/>
        <w:t>přijetí</w:t>
      </w:r>
      <w:r>
        <w:rPr>
          <w:spacing w:val="-3"/>
        </w:rPr>
        <w:t> </w:t>
      </w:r>
      <w:r>
        <w:rPr/>
        <w:t>podpory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</w:t>
      </w:r>
      <w:r>
        <w:rPr>
          <w:spacing w:val="-6"/>
        </w:rPr>
        <w:t> </w:t>
      </w: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neoprávněné </w:t>
      </w:r>
      <w:r>
        <w:rPr>
          <w:w w:val="95"/>
        </w:rPr>
        <w:t>použití finančních prostředků poskytnutých z Fondu ve smyslu zákona č. 218/2000 Sb., o rozpočtových </w:t>
      </w:r>
      <w:r>
        <w:rPr/>
        <w:t>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2" w:after="0"/>
        <w:ind w:left="876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8/2027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BodyText"/>
        <w:spacing w:before="120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18"/>
        <w:ind w:left="809"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4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2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3"/>
          <w:sz w:val="20"/>
        </w:rPr>
        <w:t> </w:t>
      </w:r>
      <w:r>
        <w:rPr>
          <w:sz w:val="20"/>
        </w:rPr>
        <w:t>pravidla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m)</w:t>
      </w:r>
      <w:r>
        <w:rPr>
          <w:spacing w:val="-13"/>
          <w:sz w:val="20"/>
        </w:rPr>
        <w:t> </w:t>
      </w:r>
      <w:r>
        <w:rPr>
          <w:sz w:val="20"/>
        </w:rPr>
        <w:t>Výzvy,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průběhu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09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 písm. 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b)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c)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20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4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</w:t>
      </w:r>
      <w:r>
        <w:rPr>
          <w:spacing w:val="-1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> </w:t>
      </w:r>
      <w:r>
        <w:rPr>
          <w:sz w:val="20"/>
        </w:rPr>
        <w:t>povinností</w:t>
      </w:r>
      <w:r>
        <w:rPr>
          <w:spacing w:val="26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článku</w:t>
      </w:r>
      <w:r>
        <w:rPr>
          <w:spacing w:val="26"/>
          <w:sz w:val="20"/>
        </w:rPr>
        <w:t> </w:t>
      </w:r>
      <w:r>
        <w:rPr>
          <w:sz w:val="20"/>
        </w:rPr>
        <w:t>IV</w:t>
      </w:r>
      <w:r>
        <w:rPr>
          <w:spacing w:val="27"/>
          <w:sz w:val="20"/>
        </w:rPr>
        <w:t> </w:t>
      </w:r>
      <w:r>
        <w:rPr>
          <w:sz w:val="20"/>
        </w:rPr>
        <w:t>bodu</w:t>
      </w:r>
      <w:r>
        <w:rPr>
          <w:spacing w:val="26"/>
          <w:sz w:val="20"/>
        </w:rPr>
        <w:t> </w:t>
      </w:r>
      <w:r>
        <w:rPr>
          <w:sz w:val="20"/>
        </w:rPr>
        <w:t>1</w:t>
      </w:r>
      <w:r>
        <w:rPr>
          <w:spacing w:val="26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f)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5"/>
          <w:sz w:val="20"/>
        </w:rPr>
        <w:t> </w:t>
      </w:r>
      <w:r>
        <w:rPr>
          <w:sz w:val="20"/>
        </w:rPr>
        <w:t>postiženo</w:t>
      </w:r>
      <w:r>
        <w:rPr>
          <w:spacing w:val="27"/>
          <w:sz w:val="20"/>
        </w:rPr>
        <w:t> </w:t>
      </w:r>
      <w:r>
        <w:rPr>
          <w:sz w:val="20"/>
        </w:rPr>
        <w:t>odvodem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5"/>
          <w:sz w:val="20"/>
        </w:rPr>
        <w:t> </w:t>
      </w:r>
      <w:r>
        <w:rPr>
          <w:sz w:val="20"/>
        </w:rPr>
        <w:t>výši</w:t>
      </w:r>
      <w:r>
        <w:rPr>
          <w:spacing w:val="25"/>
          <w:sz w:val="20"/>
        </w:rPr>
        <w:t> </w:t>
      </w:r>
      <w:r>
        <w:rPr>
          <w:sz w:val="20"/>
        </w:rPr>
        <w:t>5</w:t>
      </w:r>
      <w:r>
        <w:rPr>
          <w:spacing w:val="26"/>
          <w:sz w:val="20"/>
        </w:rPr>
        <w:t> </w:t>
      </w:r>
      <w:r>
        <w:rPr>
          <w:sz w:val="20"/>
        </w:rPr>
        <w:t>%</w:t>
      </w:r>
      <w:r>
        <w:rPr>
          <w:spacing w:val="26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4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V 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2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-2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4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16"/>
        </w:rPr>
        <w:t> </w:t>
      </w:r>
      <w:r>
        <w:rPr/>
        <w:t>Praze</w:t>
      </w:r>
      <w:r>
        <w:rPr>
          <w:spacing w:val="-3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1"/>
        </w:rPr>
      </w:pPr>
    </w:p>
    <w:p>
      <w:pPr>
        <w:pStyle w:val="BodyText"/>
        <w:spacing w:before="1"/>
        <w:ind w:left="382"/>
        <w:jc w:val="left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3"/>
        </w:rPr>
        <w:t> </w:t>
      </w:r>
      <w:r>
        <w:rPr/>
        <w:t>smíšený</w:t>
      </w:r>
      <w:r>
        <w:rPr>
          <w:spacing w:val="-4"/>
        </w:rPr>
        <w:t> </w:t>
      </w:r>
      <w:r>
        <w:rPr/>
        <w:t>model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39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7"/>
        </w:rPr>
        <w:t> </w:t>
      </w:r>
      <w:r>
        <w:rPr/>
        <w:t>smíšený</w:t>
      </w:r>
      <w:r>
        <w:rPr>
          <w:spacing w:val="-8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0" w:after="0"/>
        <w:ind w:left="1101" w:right="110" w:hanging="456"/>
        <w:jc w:val="both"/>
        <w:rPr>
          <w:sz w:val="20"/>
        </w:rPr>
      </w:pPr>
      <w:r>
        <w:rPr>
          <w:sz w:val="20"/>
        </w:rPr>
        <w:t>Vodohospodářská infrastruktura bude nejméně po dobu 10 let od 1. ledna roku následujícího po převodu</w:t>
      </w:r>
      <w:r>
        <w:rPr>
          <w:spacing w:val="-2"/>
          <w:sz w:val="20"/>
        </w:rPr>
        <w:t> </w:t>
      </w:r>
      <w:r>
        <w:rPr>
          <w:sz w:val="20"/>
        </w:rPr>
        <w:t>vodohospodářské</w:t>
      </w:r>
      <w:r>
        <w:rPr>
          <w:spacing w:val="-2"/>
          <w:sz w:val="20"/>
        </w:rPr>
        <w:t> </w:t>
      </w:r>
      <w:r>
        <w:rPr>
          <w:sz w:val="20"/>
        </w:rPr>
        <w:t>infrastruktury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do vlastnictví</w:t>
      </w:r>
      <w:r>
        <w:rPr>
          <w:spacing w:val="-3"/>
          <w:sz w:val="20"/>
        </w:rPr>
        <w:t> </w:t>
      </w:r>
      <w:r>
        <w:rPr>
          <w:sz w:val="20"/>
        </w:rPr>
        <w:t>hlavního</w:t>
      </w:r>
      <w:r>
        <w:rPr>
          <w:spacing w:val="-2"/>
          <w:sz w:val="20"/>
        </w:rPr>
        <w:t> </w:t>
      </w:r>
      <w:r>
        <w:rPr>
          <w:sz w:val="20"/>
        </w:rPr>
        <w:t>vlastníka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relevantním území provozována v rámci smíšeného modelu (k</w:t>
      </w:r>
      <w:r>
        <w:rPr>
          <w:spacing w:val="-3"/>
          <w:sz w:val="20"/>
        </w:rPr>
        <w:t> </w:t>
      </w:r>
      <w:r>
        <w:rPr>
          <w:sz w:val="20"/>
        </w:rPr>
        <w:t>modelům provozování infrastruktury a podmínkám stanoveným pro smíšený model viz dokument „Metodika pro žadatele rozvádějící podmínky přílohy č. 3 Programového dokumentu OPŽP</w:t>
      </w:r>
      <w:r>
        <w:rPr>
          <w:spacing w:val="-1"/>
          <w:sz w:val="20"/>
        </w:rPr>
        <w:t> </w:t>
      </w:r>
      <w:r>
        <w:rPr>
          <w:sz w:val="20"/>
        </w:rPr>
        <w:t>2021 – 2027“ dále</w:t>
      </w:r>
      <w:r>
        <w:rPr>
          <w:spacing w:val="-1"/>
          <w:sz w:val="20"/>
        </w:rPr>
        <w:t> </w:t>
      </w:r>
      <w:r>
        <w:rPr>
          <w:sz w:val="20"/>
        </w:rPr>
        <w:t>jen „Metodika“, která je součástí „Pravidel pro žadatele a příjemce podpory v Operačním programu Životní prostředí pro období 2021–2027“ dále jen „PrŽaP“). Pro účely stanovení podmínek týkajících se provozování vodohospodářské infrastruktury se vodohospodářskou infrastrukturou rozumí celá složka infrastruktury</w:t>
      </w:r>
      <w:r>
        <w:rPr>
          <w:spacing w:val="-2"/>
          <w:sz w:val="20"/>
        </w:rPr>
        <w:t> </w:t>
      </w:r>
      <w:r>
        <w:rPr>
          <w:sz w:val="20"/>
        </w:rPr>
        <w:t>pořízené</w:t>
      </w:r>
      <w:r>
        <w:rPr>
          <w:spacing w:val="-3"/>
          <w:sz w:val="20"/>
        </w:rPr>
        <w:t> </w:t>
      </w:r>
      <w:r>
        <w:rPr>
          <w:sz w:val="20"/>
        </w:rPr>
        <w:t>(rekonstruované)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podporou</w:t>
      </w:r>
      <w:r>
        <w:rPr>
          <w:spacing w:val="-2"/>
          <w:sz w:val="20"/>
        </w:rPr>
        <w:t> </w:t>
      </w:r>
      <w:r>
        <w:rPr>
          <w:sz w:val="20"/>
        </w:rPr>
        <w:t>poskytnutou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(podpořená infrastruktura) a veškerá další infrastruktura provozovaná v této složce na</w:t>
      </w:r>
      <w:r>
        <w:rPr>
          <w:spacing w:val="-2"/>
          <w:sz w:val="20"/>
        </w:rPr>
        <w:t> </w:t>
      </w:r>
      <w:r>
        <w:rPr>
          <w:sz w:val="20"/>
        </w:rPr>
        <w:t>území relevantní obce (podrobněji</w:t>
      </w:r>
      <w:r>
        <w:rPr>
          <w:spacing w:val="-9"/>
          <w:sz w:val="20"/>
        </w:rPr>
        <w:t> </w:t>
      </w:r>
      <w:r>
        <w:rPr>
          <w:sz w:val="20"/>
        </w:rPr>
        <w:t>viz</w:t>
      </w:r>
      <w:r>
        <w:rPr>
          <w:spacing w:val="-7"/>
          <w:sz w:val="20"/>
        </w:rPr>
        <w:t> </w:t>
      </w:r>
      <w:r>
        <w:rPr>
          <w:sz w:val="20"/>
        </w:rPr>
        <w:t>Metodika)</w:t>
      </w:r>
      <w:r>
        <w:rPr>
          <w:spacing w:val="-9"/>
          <w:sz w:val="20"/>
        </w:rPr>
        <w:t> </w:t>
      </w:r>
      <w:r>
        <w:rPr>
          <w:sz w:val="20"/>
        </w:rPr>
        <w:t>společně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9"/>
          <w:sz w:val="20"/>
        </w:rPr>
        <w:t> </w:t>
      </w:r>
      <w:r>
        <w:rPr>
          <w:sz w:val="20"/>
        </w:rPr>
        <w:t>podpořenou</w:t>
      </w:r>
      <w:r>
        <w:rPr>
          <w:spacing w:val="-9"/>
          <w:sz w:val="20"/>
        </w:rPr>
        <w:t> </w:t>
      </w:r>
      <w:r>
        <w:rPr>
          <w:sz w:val="20"/>
        </w:rPr>
        <w:t>infrastrukturou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rámci</w:t>
      </w:r>
      <w:r>
        <w:rPr>
          <w:spacing w:val="-9"/>
          <w:sz w:val="20"/>
        </w:rPr>
        <w:t> </w:t>
      </w:r>
      <w:r>
        <w:rPr>
          <w:sz w:val="20"/>
        </w:rPr>
        <w:t>podpořeného</w:t>
      </w:r>
      <w:r>
        <w:rPr>
          <w:spacing w:val="-2"/>
          <w:sz w:val="20"/>
        </w:rPr>
        <w:t> </w:t>
      </w:r>
      <w:r>
        <w:rPr>
          <w:sz w:val="20"/>
        </w:rPr>
        <w:t>smíšeného modelu provozování.</w:t>
      </w:r>
    </w:p>
    <w:p>
      <w:pPr>
        <w:pStyle w:val="BodyText"/>
        <w:spacing w:before="1"/>
        <w:ind w:left="0"/>
        <w:jc w:val="left"/>
      </w:pP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0" w:after="0"/>
        <w:ind w:left="1101" w:right="112" w:hanging="509"/>
        <w:jc w:val="both"/>
        <w:rPr>
          <w:sz w:val="20"/>
        </w:rPr>
      </w:pPr>
      <w:r>
        <w:rPr>
          <w:sz w:val="20"/>
        </w:rPr>
        <w:t>Příjemce zajistí, aby nejpozději do 31. prosince roku následujícího od získání posledního kolaudačního souhlasu/rozhodnutí k</w:t>
      </w:r>
      <w:r>
        <w:rPr>
          <w:spacing w:val="-2"/>
          <w:sz w:val="20"/>
        </w:rPr>
        <w:t> </w:t>
      </w:r>
      <w:r>
        <w:rPr>
          <w:sz w:val="20"/>
        </w:rPr>
        <w:t>projektu byla vodohospodářská infrastruktura převedena výhradně do vlastnictví hlavního vlastníka na relevantním území, kterým je Vodohospodářská společnost Vodovody a kanalizace Mladá Boleslav, a.s. V rámci tohoto převodu bude převeden veškerý</w:t>
      </w:r>
      <w:r>
        <w:rPr>
          <w:spacing w:val="-13"/>
          <w:sz w:val="20"/>
        </w:rPr>
        <w:t> </w:t>
      </w:r>
      <w:r>
        <w:rPr>
          <w:sz w:val="20"/>
        </w:rPr>
        <w:t>majetek</w:t>
      </w:r>
      <w:r>
        <w:rPr>
          <w:spacing w:val="-14"/>
          <w:sz w:val="20"/>
        </w:rPr>
        <w:t> </w:t>
      </w:r>
      <w:r>
        <w:rPr>
          <w:sz w:val="20"/>
        </w:rPr>
        <w:t>příjemce,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nepodléhá</w:t>
      </w:r>
      <w:r>
        <w:rPr>
          <w:spacing w:val="-14"/>
          <w:sz w:val="20"/>
        </w:rPr>
        <w:t> </w:t>
      </w:r>
      <w:r>
        <w:rPr>
          <w:sz w:val="20"/>
        </w:rPr>
        <w:t>jiné</w:t>
      </w:r>
      <w:r>
        <w:rPr>
          <w:spacing w:val="-14"/>
          <w:sz w:val="20"/>
        </w:rPr>
        <w:t> </w:t>
      </w:r>
      <w:r>
        <w:rPr>
          <w:sz w:val="20"/>
        </w:rPr>
        <w:t>výjimce</w:t>
      </w:r>
      <w:r>
        <w:rPr>
          <w:spacing w:val="-14"/>
          <w:sz w:val="20"/>
        </w:rPr>
        <w:t> </w:t>
      </w:r>
      <w:r>
        <w:rPr>
          <w:sz w:val="20"/>
        </w:rPr>
        <w:t>z podmínky</w:t>
      </w:r>
      <w:r>
        <w:rPr>
          <w:spacing w:val="-14"/>
          <w:sz w:val="20"/>
        </w:rPr>
        <w:t> </w:t>
      </w:r>
      <w:r>
        <w:rPr>
          <w:sz w:val="20"/>
        </w:rPr>
        <w:t>hlavního</w:t>
      </w:r>
      <w:r>
        <w:rPr>
          <w:spacing w:val="-13"/>
          <w:sz w:val="20"/>
        </w:rPr>
        <w:t> </w:t>
      </w:r>
      <w:r>
        <w:rPr>
          <w:sz w:val="20"/>
        </w:rPr>
        <w:t>vlastníka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Metodiky. K převodu majetku dojde za podmínek stanovených tak, aby nabývajícímu subjektu nebyla poskytnuta neoprávněná výhoda, v souladu s principem řádného hospodáře nebo za podmínek odpovídajících</w:t>
      </w:r>
      <w:r>
        <w:rPr>
          <w:spacing w:val="-13"/>
          <w:sz w:val="20"/>
        </w:rPr>
        <w:t> </w:t>
      </w:r>
      <w:r>
        <w:rPr>
          <w:sz w:val="20"/>
        </w:rPr>
        <w:t>majetkovému</w:t>
      </w:r>
      <w:r>
        <w:rPr>
          <w:spacing w:val="-13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subjektu</w:t>
      </w:r>
      <w:r>
        <w:rPr>
          <w:spacing w:val="-13"/>
          <w:sz w:val="20"/>
        </w:rPr>
        <w:t> </w:t>
      </w:r>
      <w:r>
        <w:rPr>
          <w:sz w:val="20"/>
        </w:rPr>
        <w:t>budoucího</w:t>
      </w:r>
      <w:r>
        <w:rPr>
          <w:spacing w:val="-12"/>
          <w:sz w:val="20"/>
        </w:rPr>
        <w:t> </w:t>
      </w:r>
      <w:r>
        <w:rPr>
          <w:sz w:val="20"/>
        </w:rPr>
        <w:t>nabyvatele.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dále</w:t>
      </w:r>
      <w:r>
        <w:rPr>
          <w:spacing w:val="-13"/>
          <w:sz w:val="20"/>
        </w:rPr>
        <w:t> </w:t>
      </w:r>
      <w:r>
        <w:rPr>
          <w:sz w:val="20"/>
        </w:rPr>
        <w:t>zajistí</w:t>
      </w:r>
      <w:r>
        <w:rPr>
          <w:spacing w:val="-13"/>
          <w:sz w:val="20"/>
        </w:rPr>
        <w:t> </w:t>
      </w:r>
      <w:r>
        <w:rPr>
          <w:sz w:val="20"/>
        </w:rPr>
        <w:t>dodržení podmínek relevantních rozhodnutí, resp. relevantní výzvy a také národní a oborové legislativy.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0" w:after="0"/>
        <w:ind w:left="1101" w:right="114" w:hanging="56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DPH byla zahrnuta do způsobilých výdajů akce, předmětná VHI bude převedena za cenu bez vyčíslené DPH, aby hlavnímu vlastníkovi nevzniknul nárok na odpočet DPH a nedošlo by ke</w:t>
      </w:r>
      <w:r>
        <w:rPr>
          <w:spacing w:val="-11"/>
          <w:sz w:val="20"/>
        </w:rPr>
        <w:t> </w:t>
      </w:r>
      <w:r>
        <w:rPr>
          <w:sz w:val="20"/>
        </w:rPr>
        <w:t>změně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způsobilosti</w:t>
      </w:r>
      <w:r>
        <w:rPr>
          <w:spacing w:val="-11"/>
          <w:sz w:val="20"/>
        </w:rPr>
        <w:t> </w:t>
      </w:r>
      <w:r>
        <w:rPr>
          <w:sz w:val="20"/>
        </w:rPr>
        <w:t>DPH.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kdy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vyčíslena</w:t>
      </w:r>
      <w:r>
        <w:rPr>
          <w:spacing w:val="-11"/>
          <w:sz w:val="20"/>
        </w:rPr>
        <w:t> </w:t>
      </w: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převodu</w:t>
      </w:r>
      <w:r>
        <w:rPr>
          <w:spacing w:val="-10"/>
          <w:sz w:val="20"/>
        </w:rPr>
        <w:t> </w:t>
      </w:r>
      <w:r>
        <w:rPr>
          <w:sz w:val="20"/>
        </w:rPr>
        <w:t>cena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11"/>
          <w:sz w:val="20"/>
        </w:rPr>
        <w:t> </w:t>
      </w:r>
      <w:r>
        <w:rPr>
          <w:sz w:val="20"/>
        </w:rPr>
        <w:t>DPH,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nutné ověřit nově způsobilost DPH na projektu.</w:t>
      </w:r>
    </w:p>
    <w:p>
      <w:pPr>
        <w:pStyle w:val="BodyText"/>
        <w:spacing w:before="1"/>
        <w:ind w:left="0"/>
        <w:jc w:val="left"/>
      </w:pP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0" w:after="0"/>
        <w:ind w:left="1101" w:right="117" w:hanging="58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předloží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40"/>
          <w:sz w:val="20"/>
        </w:rPr>
        <w:t> </w:t>
      </w:r>
      <w:r>
        <w:rPr>
          <w:sz w:val="20"/>
        </w:rPr>
        <w:t>k posouzení</w:t>
      </w:r>
      <w:r>
        <w:rPr>
          <w:spacing w:val="40"/>
          <w:sz w:val="20"/>
        </w:rPr>
        <w:t> </w:t>
      </w:r>
      <w:r>
        <w:rPr>
          <w:sz w:val="20"/>
        </w:rPr>
        <w:t>aktuální</w:t>
      </w:r>
      <w:r>
        <w:rPr>
          <w:spacing w:val="40"/>
          <w:sz w:val="20"/>
        </w:rPr>
        <w:t> </w:t>
      </w:r>
      <w:r>
        <w:rPr>
          <w:sz w:val="20"/>
        </w:rPr>
        <w:t>verzi</w:t>
      </w:r>
      <w:r>
        <w:rPr>
          <w:spacing w:val="40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</w:t>
      </w:r>
      <w:r>
        <w:rPr>
          <w:spacing w:val="40"/>
          <w:sz w:val="20"/>
        </w:rPr>
        <w:t> </w:t>
      </w:r>
      <w:r>
        <w:rPr>
          <w:sz w:val="20"/>
        </w:rPr>
        <w:t>vyplněnou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souladu s manuálem k</w:t>
      </w:r>
      <w:r>
        <w:rPr>
          <w:spacing w:val="-2"/>
          <w:sz w:val="20"/>
        </w:rPr>
        <w:t> </w:t>
      </w:r>
      <w:r>
        <w:rPr>
          <w:sz w:val="20"/>
        </w:rPr>
        <w:t>Nástroji Udržitelnost včetně relevantních příloh. Nástroj bude předložen nejpozději v</w:t>
      </w:r>
      <w:r>
        <w:rPr>
          <w:spacing w:val="-3"/>
          <w:sz w:val="20"/>
        </w:rPr>
        <w:t> </w:t>
      </w:r>
      <w:r>
        <w:rPr>
          <w:sz w:val="20"/>
        </w:rPr>
        <w:t>rámci podkladů pro předložení Závěrečného vyhodnocení akce. Nástroj Udržitelnost bude vyplněn za tarifní oblast hlavního vlastníka.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0" w:after="0"/>
        <w:ind w:left="1101" w:right="110" w:hanging="5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zajistí,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3"/>
          <w:sz w:val="20"/>
        </w:rPr>
        <w:t> </w:t>
      </w:r>
      <w:r>
        <w:rPr>
          <w:sz w:val="20"/>
        </w:rPr>
        <w:t>nejméně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let</w:t>
      </w:r>
      <w:r>
        <w:rPr>
          <w:spacing w:val="-14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1.</w:t>
      </w:r>
      <w:r>
        <w:rPr>
          <w:spacing w:val="-14"/>
          <w:sz w:val="20"/>
        </w:rPr>
        <w:t> </w:t>
      </w:r>
      <w:r>
        <w:rPr>
          <w:sz w:val="20"/>
        </w:rPr>
        <w:t>ledna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4"/>
          <w:sz w:val="20"/>
        </w:rPr>
        <w:t> </w:t>
      </w:r>
      <w:r>
        <w:rPr>
          <w:sz w:val="20"/>
        </w:rPr>
        <w:t>následujícího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2"/>
          <w:sz w:val="20"/>
        </w:rPr>
        <w:t> </w:t>
      </w:r>
      <w:r>
        <w:rPr>
          <w:sz w:val="20"/>
        </w:rPr>
        <w:t>převodu vodohospodářské infrastruktury výhradně do vlastnictví hlavního vlastníka na relevantním území, zabezpečena finanční udržitelnost projektu. Musí být zajištěna tvorba prostředků na obnovu vodovodů a/nebo kanalizací konzistentně s</w:t>
      </w:r>
      <w:r>
        <w:rPr>
          <w:spacing w:val="-1"/>
          <w:sz w:val="20"/>
        </w:rPr>
        <w:t> </w:t>
      </w:r>
      <w:r>
        <w:rPr>
          <w:sz w:val="20"/>
        </w:rPr>
        <w:t>návrhem Plánu prostředků obnovy vodovodů a/nebo kanalizací schváleným Fondem dle výstupu z Nástroje Udržitelnost. Změna výše prostředků na obnovu vodovodů a/nebo kanalizací je přípustná pouze z důvodu (a) snížení na úroveň, která prokazatelně zajistí nepřekročení hranice sociálně únosné ceny pro vodné a/nebo stočné zveřejňované</w:t>
      </w:r>
      <w:r>
        <w:rPr>
          <w:spacing w:val="-5"/>
          <w:sz w:val="20"/>
        </w:rPr>
        <w:t> </w:t>
      </w:r>
      <w:r>
        <w:rPr>
          <w:sz w:val="20"/>
        </w:rPr>
        <w:t>každoročně</w:t>
      </w:r>
      <w:r>
        <w:rPr>
          <w:spacing w:val="-5"/>
          <w:sz w:val="20"/>
        </w:rPr>
        <w:t> </w:t>
      </w:r>
      <w:r>
        <w:rPr>
          <w:sz w:val="20"/>
        </w:rPr>
        <w:t>Fondem,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(b)</w:t>
      </w:r>
      <w:r>
        <w:rPr>
          <w:spacing w:val="-4"/>
          <w:sz w:val="20"/>
        </w:rPr>
        <w:t> </w:t>
      </w:r>
      <w:r>
        <w:rPr>
          <w:sz w:val="20"/>
        </w:rPr>
        <w:t>snížení</w:t>
      </w:r>
      <w:r>
        <w:rPr>
          <w:spacing w:val="-5"/>
          <w:sz w:val="20"/>
        </w:rPr>
        <w:t> </w:t>
      </w:r>
      <w:r>
        <w:rPr>
          <w:sz w:val="20"/>
        </w:rPr>
        <w:t>na úroveň,</w:t>
      </w:r>
      <w:r>
        <w:rPr>
          <w:spacing w:val="-5"/>
          <w:sz w:val="20"/>
        </w:rPr>
        <w:t> </w:t>
      </w:r>
      <w:r>
        <w:rPr>
          <w:sz w:val="20"/>
        </w:rPr>
        <w:t>která</w:t>
      </w:r>
      <w:r>
        <w:rPr>
          <w:spacing w:val="-5"/>
          <w:sz w:val="20"/>
        </w:rPr>
        <w:t> </w:t>
      </w:r>
      <w:r>
        <w:rPr>
          <w:sz w:val="20"/>
        </w:rPr>
        <w:t>prokazatelně</w:t>
      </w:r>
      <w:r>
        <w:rPr>
          <w:spacing w:val="-3"/>
          <w:sz w:val="20"/>
        </w:rPr>
        <w:t> </w:t>
      </w:r>
      <w:r>
        <w:rPr>
          <w:sz w:val="20"/>
        </w:rPr>
        <w:t>vytváří</w:t>
      </w:r>
      <w:r>
        <w:rPr>
          <w:spacing w:val="-5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line="264" w:lineRule="auto" w:before="73"/>
        <w:ind w:left="1101" w:right="113"/>
      </w:pPr>
      <w:r>
        <w:rPr/>
        <w:t>obnovu vodovodů a/nebo kanalizací minimálně ve výši „plných odpisů“. V obou případech je nezbytné, aby Fond navrženou odchylku odsouhlasil.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0" w:after="0"/>
        <w:ind w:left="1101" w:right="114" w:hanging="581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1" w:after="0"/>
        <w:ind w:left="1101" w:right="111" w:hanging="634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 na „související provozní smlouvy“ ve smyslu Metodiky s tím, že v</w:t>
      </w:r>
      <w:r>
        <w:rPr>
          <w:spacing w:val="-1"/>
          <w:sz w:val="20"/>
        </w:rPr>
        <w:t> </w:t>
      </w:r>
      <w:r>
        <w:rPr>
          <w:sz w:val="20"/>
        </w:rPr>
        <w:t>případě ukončení platnosti související provozní smlouvy je vlastník infrastruktury, která je předmětem související provozní 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 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54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2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49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11"/>
        <w:ind w:left="0"/>
        <w:jc w:val="left"/>
        <w:rPr>
          <w:sz w:val="13"/>
        </w:rPr>
      </w:pPr>
      <w:r>
        <w:rPr/>
        <w:pict>
          <v:rect style="position:absolute;margin-left:85.103996pt;margin-top:10.426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6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 podílejícími se na 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227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1102" w:hanging="456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45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45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45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45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45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45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45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2025-05-06T10:08:18Z</dcterms:created>
  <dcterms:modified xsi:type="dcterms:W3CDTF">2025-05-06T10:08:18Z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</Properties>
</file>