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300" w:after="20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 M L O U V A O D Í L O</w:t>
      </w:r>
    </w:p>
    <w:p>
      <w:pPr>
        <w:pStyle w:val="Style9"/>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24"/>
          <w:szCs w:val="24"/>
          <w:shd w:val="clear" w:color="auto" w:fill="auto"/>
          <w:lang w:val="cs-CZ" w:eastAsia="cs-CZ" w:bidi="cs-CZ"/>
        </w:rPr>
        <w:t>č. smlouvy: 429/2025</w:t>
      </w:r>
      <w:bookmarkEnd w:id="0"/>
      <w:bookmarkEnd w:id="1"/>
      <w:bookmarkEnd w:id="2"/>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je uzavřena dle ust. § 2586 a násl. zákona 89/2012 Sb., občanského zákoníku, ve znění pozdějších předpisů.</w:t>
      </w:r>
    </w:p>
    <w:p>
      <w:pPr>
        <w:pStyle w:val="Style9"/>
        <w:keepNext/>
        <w:keepLines/>
        <w:widowControl w:val="0"/>
        <w:shd w:val="clear" w:color="auto" w:fill="auto"/>
        <w:bidi w:val="0"/>
        <w:spacing w:before="0" w:after="20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sz w:val="24"/>
          <w:szCs w:val="24"/>
          <w:shd w:val="clear" w:color="auto" w:fill="auto"/>
          <w:lang w:val="cs-CZ" w:eastAsia="cs-CZ" w:bidi="cs-CZ"/>
        </w:rPr>
        <w:t>Název díla:</w:t>
        <w:br/>
        <w:t>„Rekonstrukce podlah B201, B202 a B216, B217“</w:t>
      </w:r>
      <w:bookmarkEnd w:id="3"/>
      <w:bookmarkEnd w:id="4"/>
      <w:bookmarkEnd w:id="5"/>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byla uzavřena mezi:</w:t>
      </w:r>
    </w:p>
    <w:tbl>
      <w:tblPr>
        <w:tblOverlap w:val="never"/>
        <w:jc w:val="center"/>
        <w:tblLayout w:type="fixed"/>
      </w:tblPr>
      <w:tblGrid>
        <w:gridCol w:w="3869"/>
        <w:gridCol w:w="5256"/>
      </w:tblGrid>
      <w:tr>
        <w:trPr>
          <w:trHeight w:val="56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w:t>
            </w:r>
          </w:p>
        </w:tc>
      </w:tr>
      <w:tr>
        <w:trPr>
          <w:trHeight w:val="127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DIČ:</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zastoupený: zástupce ve věcech smluvních:</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70889988</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CZ 70889988</w:t>
            </w:r>
          </w:p>
        </w:tc>
      </w:tr>
    </w:tbl>
    <w:p>
      <w:pPr>
        <w:widowControl w:val="0"/>
        <w:spacing w:after="119" w:line="1" w:lineRule="exact"/>
      </w:pP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technický dozor investora:</w:t>
      </w: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Bankovní spojení: číslo účtu:</w:t>
      </w: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„objednatel“) na straně jedné a</w:t>
      </w:r>
    </w:p>
    <w:tbl>
      <w:tblPr>
        <w:tblOverlap w:val="never"/>
        <w:jc w:val="center"/>
        <w:tblLayout w:type="fixed"/>
      </w:tblPr>
      <w:tblGrid>
        <w:gridCol w:w="3869"/>
        <w:gridCol w:w="5256"/>
      </w:tblGrid>
      <w:tr>
        <w:trPr>
          <w:trHeight w:val="56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Jiří Tomášek</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Suchdol 7, 430 01 Křimov</w:t>
            </w:r>
          </w:p>
        </w:tc>
      </w:tr>
      <w:tr>
        <w:trPr>
          <w:trHeight w:val="92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DIČ: zastoupený:</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42431999</w:t>
            </w:r>
          </w:p>
        </w:tc>
      </w:tr>
    </w:tbl>
    <w:p>
      <w:pPr>
        <w:widowControl w:val="0"/>
        <w:spacing w:after="1099" w:line="1" w:lineRule="exact"/>
      </w:pPr>
    </w:p>
    <w:p>
      <w:pPr>
        <w:pStyle w:val="Style9"/>
        <w:keepNext/>
        <w:keepLines/>
        <w:widowControl w:val="0"/>
        <w:shd w:val="clear" w:color="auto" w:fill="auto"/>
        <w:bidi w:val="0"/>
        <w:spacing w:before="0" w:after="0" w:line="240" w:lineRule="auto"/>
        <w:ind w:left="0" w:right="0" w:firstLine="0"/>
        <w:jc w:val="left"/>
      </w:pPr>
      <w:bookmarkStart w:id="6" w:name="bookmark6"/>
      <w:bookmarkStart w:id="7" w:name="bookmark7"/>
      <w:bookmarkStart w:id="8" w:name="bookmark8"/>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bookmarkEnd w:id="6"/>
      <w:bookmarkEnd w:id="7"/>
      <w:bookmarkEnd w:id="8"/>
    </w:p>
    <w:p>
      <w:pPr>
        <w:pStyle w:val="Style9"/>
        <w:keepNext/>
        <w:keepLines/>
        <w:widowControl w:val="0"/>
        <w:shd w:val="clear" w:color="auto" w:fill="auto"/>
        <w:bidi w:val="0"/>
        <w:spacing w:before="0" w:after="200" w:line="240" w:lineRule="auto"/>
        <w:ind w:left="0" w:right="0" w:firstLine="0"/>
        <w:jc w:val="left"/>
      </w:pPr>
      <w:bookmarkStart w:id="6" w:name="bookmark6"/>
      <w:bookmarkStart w:id="7" w:name="bookmark7"/>
      <w:bookmarkStart w:id="9" w:name="bookmark9"/>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bookmarkEnd w:id="6"/>
      <w:bookmarkEnd w:id="7"/>
      <w:bookmarkEnd w:id="9"/>
    </w:p>
    <w:p>
      <w:pPr>
        <w:pStyle w:val="Style2"/>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držitelem živnostenského listu č. j. MMCH/32838/2017, sp. značka SZ MMCH/32812/2017, Magistrát města Chomutova</w:t>
      </w: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Vzhledem k tomu, že si objednatel přeje, aby zhotovitel provedl dílo, s názvem:</w:t>
      </w:r>
    </w:p>
    <w:p>
      <w:pPr>
        <w:pStyle w:val="Style9"/>
        <w:keepNext/>
        <w:keepLines/>
        <w:widowControl w:val="0"/>
        <w:shd w:val="clear" w:color="auto" w:fill="auto"/>
        <w:bidi w:val="0"/>
        <w:spacing w:before="0" w:line="240" w:lineRule="auto"/>
        <w:ind w:left="0" w:right="0" w:firstLine="0"/>
        <w:jc w:val="center"/>
      </w:pPr>
      <w:bookmarkStart w:id="10" w:name="bookmark10"/>
      <w:bookmarkStart w:id="11" w:name="bookmark11"/>
      <w:bookmarkStart w:id="12" w:name="bookmark12"/>
      <w:r>
        <w:rPr>
          <w:rFonts w:ascii="Times New Roman" w:eastAsia="Times New Roman" w:hAnsi="Times New Roman" w:cs="Times New Roman"/>
          <w:color w:val="000000"/>
          <w:spacing w:val="0"/>
          <w:w w:val="100"/>
          <w:position w:val="0"/>
          <w:sz w:val="24"/>
          <w:szCs w:val="24"/>
          <w:shd w:val="clear" w:color="auto" w:fill="auto"/>
          <w:lang w:val="cs-CZ" w:eastAsia="cs-CZ" w:bidi="cs-CZ"/>
        </w:rPr>
        <w:t>„Rekonstrukce podlah B201, B202 a B216, B217“</w:t>
      </w:r>
      <w:bookmarkEnd w:id="10"/>
      <w:bookmarkEnd w:id="11"/>
      <w:bookmarkEnd w:id="12"/>
    </w:p>
    <w:p>
      <w:pPr>
        <w:pStyle w:val="Style2"/>
        <w:keepNext w:val="0"/>
        <w:keepLines w:val="0"/>
        <w:widowControl w:val="0"/>
        <w:shd w:val="clear" w:color="auto" w:fill="auto"/>
        <w:bidi w:val="0"/>
        <w:spacing w:before="0" w:after="3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a přijal nabídku zhotovitele na provedení a dokončení tohoto díla, se smluvní strany dohodly na následujícím:</w:t>
      </w:r>
    </w:p>
    <w:p>
      <w:pPr>
        <w:pStyle w:val="Style9"/>
        <w:keepNext/>
        <w:keepLines/>
        <w:widowControl w:val="0"/>
        <w:shd w:val="clear" w:color="auto" w:fill="auto"/>
        <w:bidi w:val="0"/>
        <w:spacing w:before="0" w:line="240" w:lineRule="auto"/>
        <w:ind w:left="0" w:right="0" w:firstLine="0"/>
        <w:jc w:val="center"/>
      </w:pPr>
      <w:bookmarkStart w:id="13" w:name="bookmark13"/>
      <w:bookmarkStart w:id="14" w:name="bookmark14"/>
      <w:bookmarkStart w:id="15" w:name="bookmark15"/>
      <w:r>
        <w:rPr>
          <w:rFonts w:ascii="Times New Roman" w:eastAsia="Times New Roman" w:hAnsi="Times New Roman" w:cs="Times New Roman"/>
          <w:color w:val="000000"/>
          <w:spacing w:val="0"/>
          <w:w w:val="100"/>
          <w:position w:val="0"/>
          <w:sz w:val="24"/>
          <w:szCs w:val="24"/>
          <w:shd w:val="clear" w:color="auto" w:fill="auto"/>
          <w:lang w:val="cs-CZ" w:eastAsia="cs-CZ" w:bidi="cs-CZ"/>
        </w:rPr>
        <w:t>Čl. II. PŘEDMĚT DÍLA</w:t>
      </w:r>
      <w:bookmarkEnd w:id="13"/>
      <w:bookmarkEnd w:id="14"/>
      <w:bookmarkEnd w:id="15"/>
    </w:p>
    <w:p>
      <w:pPr>
        <w:pStyle w:val="Style2"/>
        <w:keepNext w:val="0"/>
        <w:keepLines w:val="0"/>
        <w:widowControl w:val="0"/>
        <w:numPr>
          <w:ilvl w:val="0"/>
          <w:numId w:val="1"/>
        </w:numPr>
        <w:shd w:val="clear" w:color="auto" w:fill="auto"/>
        <w:tabs>
          <w:tab w:pos="394" w:val="left"/>
        </w:tabs>
        <w:bidi w:val="0"/>
        <w:spacing w:before="0" w:line="240" w:lineRule="auto"/>
        <w:ind w:left="380" w:right="0" w:hanging="380"/>
        <w:jc w:val="both"/>
      </w:pPr>
      <w:bookmarkStart w:id="16" w:name="bookmark16"/>
      <w:bookmarkEnd w:id="16"/>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se zavazuje provést výše uvedené dílo, výměnu podlahové krytiny a úpravy v rozsahu přijaté nabídky zhotovitele, a to v kancelářích B201, B202, B216, B217 na adrese Bezručova 4219, 430 03 Chomutov.</w:t>
      </w:r>
    </w:p>
    <w:p>
      <w:pPr>
        <w:pStyle w:val="Style2"/>
        <w:keepNext w:val="0"/>
        <w:keepLines w:val="0"/>
        <w:widowControl w:val="0"/>
        <w:numPr>
          <w:ilvl w:val="0"/>
          <w:numId w:val="1"/>
        </w:numPr>
        <w:shd w:val="clear" w:color="auto" w:fill="auto"/>
        <w:tabs>
          <w:tab w:pos="394" w:val="left"/>
        </w:tabs>
        <w:bidi w:val="0"/>
        <w:spacing w:before="0" w:line="240" w:lineRule="auto"/>
        <w:ind w:left="380" w:right="0" w:hanging="380"/>
        <w:jc w:val="both"/>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Style2"/>
        <w:keepNext w:val="0"/>
        <w:keepLines w:val="0"/>
        <w:widowControl w:val="0"/>
        <w:numPr>
          <w:ilvl w:val="0"/>
          <w:numId w:val="1"/>
        </w:numPr>
        <w:shd w:val="clear" w:color="auto" w:fill="auto"/>
        <w:tabs>
          <w:tab w:pos="394" w:val="left"/>
        </w:tabs>
        <w:bidi w:val="0"/>
        <w:spacing w:before="0" w:line="240" w:lineRule="auto"/>
        <w:ind w:left="380" w:right="0" w:hanging="380"/>
        <w:jc w:val="both"/>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se seznámil se staveništěm tak, aby mohlo být dílo řádně provedeno podle ustanovení této smlouvy, není třeba žádných změn nebo úprav zadání.</w:t>
      </w:r>
    </w:p>
    <w:p>
      <w:pPr>
        <w:pStyle w:val="Style2"/>
        <w:keepNext w:val="0"/>
        <w:keepLines w:val="0"/>
        <w:widowControl w:val="0"/>
        <w:numPr>
          <w:ilvl w:val="0"/>
          <w:numId w:val="1"/>
        </w:numPr>
        <w:shd w:val="clear" w:color="auto" w:fill="auto"/>
        <w:tabs>
          <w:tab w:pos="394" w:val="left"/>
        </w:tabs>
        <w:bidi w:val="0"/>
        <w:spacing w:before="0" w:line="240" w:lineRule="auto"/>
        <w:ind w:left="380" w:right="0" w:hanging="38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dále prohlašuje, že si prohlédl staveniště a že se přesvědčil o jeho skutečném stavu a že jsou mu známé všechny okolnosti pro řádné plnění díla.</w:t>
      </w:r>
    </w:p>
    <w:p>
      <w:pPr>
        <w:pStyle w:val="Style2"/>
        <w:keepNext w:val="0"/>
        <w:keepLines w:val="0"/>
        <w:widowControl w:val="0"/>
        <w:numPr>
          <w:ilvl w:val="0"/>
          <w:numId w:val="1"/>
        </w:numPr>
        <w:shd w:val="clear" w:color="auto" w:fill="auto"/>
        <w:tabs>
          <w:tab w:pos="394" w:val="left"/>
        </w:tabs>
        <w:bidi w:val="0"/>
        <w:spacing w:before="0" w:after="0" w:line="240" w:lineRule="auto"/>
        <w:ind w:left="0" w:right="0" w:firstLine="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předá zhotoviteli staveniště prosté práv třetích osob.</w:t>
      </w:r>
    </w:p>
    <w:p>
      <w:pPr>
        <w:pStyle w:val="Style2"/>
        <w:keepNext w:val="0"/>
        <w:keepLines w:val="0"/>
        <w:widowControl w:val="0"/>
        <w:shd w:val="clear" w:color="auto" w:fill="auto"/>
        <w:bidi w:val="0"/>
        <w:spacing w:before="0" w:after="500" w:line="240" w:lineRule="auto"/>
        <w:ind w:left="380" w:right="0" w:firstLine="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Předání staveniště zhotoviteli bude objednatelem provedeno dle termínu uvedeného v této smlouvě..</w:t>
      </w:r>
    </w:p>
    <w:p>
      <w:pPr>
        <w:pStyle w:val="Style9"/>
        <w:keepNext/>
        <w:keepLines/>
        <w:widowControl w:val="0"/>
        <w:shd w:val="clear" w:color="auto" w:fill="auto"/>
        <w:bidi w:val="0"/>
        <w:spacing w:before="0" w:line="240" w:lineRule="auto"/>
        <w:ind w:left="0" w:right="0" w:firstLine="0"/>
        <w:jc w:val="center"/>
      </w:pPr>
      <w:bookmarkStart w:id="21" w:name="bookmark21"/>
      <w:bookmarkStart w:id="22" w:name="bookmark22"/>
      <w:bookmarkStart w:id="23" w:name="bookmark23"/>
      <w:r>
        <w:rPr>
          <w:rFonts w:ascii="Times New Roman" w:eastAsia="Times New Roman" w:hAnsi="Times New Roman" w:cs="Times New Roman"/>
          <w:color w:val="000000"/>
          <w:spacing w:val="0"/>
          <w:w w:val="100"/>
          <w:position w:val="0"/>
          <w:sz w:val="24"/>
          <w:szCs w:val="24"/>
          <w:shd w:val="clear" w:color="auto" w:fill="auto"/>
          <w:lang w:val="cs-CZ" w:eastAsia="cs-CZ" w:bidi="cs-CZ"/>
        </w:rPr>
        <w:t>Čl. III. TERMÍN PLNĚNÍ</w:t>
      </w:r>
      <w:bookmarkEnd w:id="21"/>
      <w:bookmarkEnd w:id="22"/>
      <w:bookmarkEnd w:id="23"/>
    </w:p>
    <w:p>
      <w:pPr>
        <w:pStyle w:val="Style9"/>
        <w:keepNext/>
        <w:keepLines/>
        <w:widowControl w:val="0"/>
        <w:numPr>
          <w:ilvl w:val="0"/>
          <w:numId w:val="3"/>
        </w:numPr>
        <w:shd w:val="clear" w:color="auto" w:fill="auto"/>
        <w:tabs>
          <w:tab w:pos="2828" w:val="left"/>
          <w:tab w:pos="4950" w:val="left"/>
        </w:tabs>
        <w:bidi w:val="0"/>
        <w:spacing w:before="0" w:after="0" w:line="240" w:lineRule="auto"/>
        <w:ind w:left="0" w:right="0" w:firstLine="380"/>
        <w:jc w:val="both"/>
      </w:pPr>
      <w:bookmarkStart w:id="24" w:name="bookmark24"/>
      <w:bookmarkStart w:id="25" w:name="bookmark25"/>
      <w:bookmarkStart w:id="26" w:name="bookmark26"/>
      <w:bookmarkStart w:id="27" w:name="bookmark27"/>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Zahájení díla:</w:t>
        <w:tab/>
      </w: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07.05.2025</w:t>
      </w:r>
      <w:bookmarkEnd w:id="24"/>
      <w:bookmarkEnd w:id="25"/>
      <w:bookmarkEnd w:id="27"/>
    </w:p>
    <w:p>
      <w:pPr>
        <w:pStyle w:val="Style9"/>
        <w:keepNext/>
        <w:keepLines/>
        <w:widowControl w:val="0"/>
        <w:numPr>
          <w:ilvl w:val="0"/>
          <w:numId w:val="3"/>
        </w:numPr>
        <w:shd w:val="clear" w:color="auto" w:fill="auto"/>
        <w:tabs>
          <w:tab w:pos="2828" w:val="left"/>
          <w:tab w:pos="4950" w:val="left"/>
        </w:tabs>
        <w:bidi w:val="0"/>
        <w:spacing w:before="0" w:line="240" w:lineRule="auto"/>
        <w:ind w:left="0" w:right="0" w:firstLine="380"/>
        <w:jc w:val="both"/>
      </w:pPr>
      <w:bookmarkStart w:id="24" w:name="bookmark24"/>
      <w:bookmarkStart w:id="25" w:name="bookmark25"/>
      <w:bookmarkStart w:id="28" w:name="bookmark28"/>
      <w:bookmarkStart w:id="29" w:name="bookmark29"/>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Ukončení díla:</w:t>
        <w:tab/>
      </w: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do 31.05.2025</w:t>
      </w:r>
      <w:bookmarkEnd w:id="24"/>
      <w:bookmarkEnd w:id="25"/>
      <w:bookmarkEnd w:id="29"/>
    </w:p>
    <w:p>
      <w:pPr>
        <w:pStyle w:val="Style2"/>
        <w:keepNext w:val="0"/>
        <w:keepLines w:val="0"/>
        <w:widowControl w:val="0"/>
        <w:numPr>
          <w:ilvl w:val="0"/>
          <w:numId w:val="5"/>
        </w:numPr>
        <w:shd w:val="clear" w:color="auto" w:fill="auto"/>
        <w:tabs>
          <w:tab w:pos="394" w:val="left"/>
        </w:tabs>
        <w:bidi w:val="0"/>
        <w:spacing w:before="0" w:line="240" w:lineRule="auto"/>
        <w:ind w:left="380" w:right="0" w:hanging="380"/>
        <w:jc w:val="both"/>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se zavazuje, že v době ode dne zahájení díla do předání staveniště, vynaloží veškeré úsilí k zajištění realizace provedení díla.</w:t>
      </w:r>
    </w:p>
    <w:p>
      <w:pPr>
        <w:pStyle w:val="Style2"/>
        <w:keepNext w:val="0"/>
        <w:keepLines w:val="0"/>
        <w:widowControl w:val="0"/>
        <w:numPr>
          <w:ilvl w:val="0"/>
          <w:numId w:val="5"/>
        </w:numPr>
        <w:shd w:val="clear" w:color="auto" w:fill="auto"/>
        <w:tabs>
          <w:tab w:pos="394" w:val="left"/>
        </w:tabs>
        <w:bidi w:val="0"/>
        <w:spacing w:before="0" w:after="500" w:line="240" w:lineRule="auto"/>
        <w:ind w:left="380" w:right="0" w:hanging="380"/>
        <w:jc w:val="both"/>
      </w:pPr>
      <w:bookmarkStart w:id="31" w:name="bookmark31"/>
      <w:bookmarkEnd w:id="31"/>
      <w:r>
        <w:rPr>
          <w:rFonts w:ascii="Times New Roman" w:eastAsia="Times New Roman" w:hAnsi="Times New Roman" w:cs="Times New Roman"/>
          <w:color w:val="000000"/>
          <w:spacing w:val="0"/>
          <w:w w:val="100"/>
          <w:position w:val="0"/>
          <w:sz w:val="24"/>
          <w:szCs w:val="24"/>
          <w:shd w:val="clear" w:color="auto" w:fill="auto"/>
          <w:lang w:val="cs-CZ" w:eastAsia="cs-CZ" w:bidi="cs-CZ"/>
        </w:rPr>
        <w:t>Dílo bude dokončeno zhotovitelem a předáno objednateli písemně na základě zápisu o předání a převzetí.</w:t>
      </w:r>
    </w:p>
    <w:p>
      <w:pPr>
        <w:pStyle w:val="Style9"/>
        <w:keepNext/>
        <w:keepLines/>
        <w:widowControl w:val="0"/>
        <w:shd w:val="clear" w:color="auto" w:fill="auto"/>
        <w:bidi w:val="0"/>
        <w:spacing w:before="0" w:line="240" w:lineRule="auto"/>
        <w:ind w:left="0" w:right="0" w:firstLine="0"/>
        <w:jc w:val="center"/>
      </w:pPr>
      <w:bookmarkStart w:id="32" w:name="bookmark32"/>
      <w:bookmarkStart w:id="33" w:name="bookmark33"/>
      <w:bookmarkStart w:id="34" w:name="bookmark34"/>
      <w:r>
        <w:rPr>
          <w:rFonts w:ascii="Times New Roman" w:eastAsia="Times New Roman" w:hAnsi="Times New Roman" w:cs="Times New Roman"/>
          <w:color w:val="000000"/>
          <w:spacing w:val="0"/>
          <w:w w:val="100"/>
          <w:position w:val="0"/>
          <w:sz w:val="24"/>
          <w:szCs w:val="24"/>
          <w:shd w:val="clear" w:color="auto" w:fill="auto"/>
          <w:lang w:val="cs-CZ" w:eastAsia="cs-CZ" w:bidi="cs-CZ"/>
        </w:rPr>
        <w:t>Čl. IV. CENA</w:t>
      </w:r>
      <w:bookmarkEnd w:id="32"/>
      <w:bookmarkEnd w:id="33"/>
      <w:bookmarkEnd w:id="34"/>
    </w:p>
    <w:p>
      <w:pPr>
        <w:pStyle w:val="Style2"/>
        <w:keepNext w:val="0"/>
        <w:keepLines w:val="0"/>
        <w:widowControl w:val="0"/>
        <w:numPr>
          <w:ilvl w:val="0"/>
          <w:numId w:val="7"/>
        </w:numPr>
        <w:shd w:val="clear" w:color="auto" w:fill="auto"/>
        <w:tabs>
          <w:tab w:pos="394" w:val="left"/>
        </w:tabs>
        <w:bidi w:val="0"/>
        <w:spacing w:before="0" w:line="240" w:lineRule="auto"/>
        <w:ind w:left="380" w:right="0" w:hanging="38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Cena za dílo je stanovená jako nejvýše přípustná smluvní cena z předložené nabídky, platná po dobu realizace díla, t.j. až do doby protokolárního předání a převzetí řádně provedeného díla.</w:t>
      </w:r>
    </w:p>
    <w:p>
      <w:pPr>
        <w:pStyle w:val="Style2"/>
        <w:keepNext w:val="0"/>
        <w:keepLines w:val="0"/>
        <w:widowControl w:val="0"/>
        <w:numPr>
          <w:ilvl w:val="0"/>
          <w:numId w:val="7"/>
        </w:numPr>
        <w:shd w:val="clear" w:color="auto" w:fill="auto"/>
        <w:tabs>
          <w:tab w:pos="394" w:val="left"/>
        </w:tabs>
        <w:bidi w:val="0"/>
        <w:spacing w:before="0" w:line="240" w:lineRule="auto"/>
        <w:ind w:left="380" w:right="0" w:hanging="380"/>
        <w:jc w:val="both"/>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7"/>
        </w:numPr>
        <w:shd w:val="clear" w:color="auto" w:fill="auto"/>
        <w:tabs>
          <w:tab w:pos="394" w:val="left"/>
        </w:tabs>
        <w:bidi w:val="0"/>
        <w:spacing w:before="0" w:after="420" w:line="240" w:lineRule="auto"/>
        <w:ind w:left="380" w:right="0" w:hanging="380"/>
        <w:jc w:val="both"/>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Výše ceny díla může být změněna pouze a jen na podkladě skutečností, které se vyskytly v průběhu provádění prací na stavbě, přičemž jejich zajištění je podmínkou pro řádné </w:t>
      </w:r>
      <w:r>
        <w:rPr>
          <w:rFonts w:ascii="Times New Roman" w:eastAsia="Times New Roman" w:hAnsi="Times New Roman" w:cs="Times New Roman"/>
          <w:color w:val="000000"/>
          <w:spacing w:val="0"/>
          <w:w w:val="100"/>
          <w:position w:val="0"/>
          <w:sz w:val="24"/>
          <w:szCs w:val="24"/>
          <w:shd w:val="clear" w:color="auto" w:fill="auto"/>
          <w:lang w:val="cs-CZ" w:eastAsia="cs-CZ" w:bidi="cs-CZ"/>
        </w:rPr>
        <w:t>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7"/>
        </w:numPr>
        <w:shd w:val="clear" w:color="auto" w:fill="auto"/>
        <w:tabs>
          <w:tab w:pos="360" w:val="left"/>
        </w:tabs>
        <w:bidi w:val="0"/>
        <w:spacing w:before="0" w:after="200" w:line="240" w:lineRule="auto"/>
        <w:ind w:left="300" w:right="0" w:hanging="300"/>
        <w:jc w:val="both"/>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after="760" w:line="240" w:lineRule="auto"/>
        <w:ind w:left="0" w:right="0" w:firstLine="30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Celková smluvní cena bez DPH ……………..132 692,50 Kč</w:t>
      </w:r>
    </w:p>
    <w:p>
      <w:pPr>
        <w:pStyle w:val="Style2"/>
        <w:keepNext w:val="0"/>
        <w:keepLines w:val="0"/>
        <w:widowControl w:val="0"/>
        <w:numPr>
          <w:ilvl w:val="0"/>
          <w:numId w:val="7"/>
        </w:numPr>
        <w:shd w:val="clear" w:color="auto" w:fill="auto"/>
        <w:tabs>
          <w:tab w:pos="360" w:val="left"/>
        </w:tabs>
        <w:bidi w:val="0"/>
        <w:spacing w:before="0" w:after="500" w:line="240" w:lineRule="auto"/>
        <w:ind w:left="300" w:right="0" w:hanging="30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výslovně prohlašují, že touto smlouvou sjednaná cena za provedení díla není považována za skutečnost tvořící obchodní tajemství ve smyslu ustanovení § 504 zák. č. 89/2012 Sb. občanský zákoník v platném znění.</w:t>
      </w:r>
    </w:p>
    <w:p>
      <w:pPr>
        <w:pStyle w:val="Style9"/>
        <w:keepNext/>
        <w:keepLines/>
        <w:widowControl w:val="0"/>
        <w:shd w:val="clear" w:color="auto" w:fill="auto"/>
        <w:bidi w:val="0"/>
        <w:spacing w:before="0" w:after="200" w:line="288" w:lineRule="auto"/>
        <w:ind w:left="0" w:right="0" w:firstLine="0"/>
        <w:jc w:val="center"/>
      </w:pPr>
      <w:bookmarkStart w:id="40" w:name="bookmark40"/>
      <w:bookmarkStart w:id="41" w:name="bookmark41"/>
      <w:bookmarkStart w:id="42" w:name="bookmark42"/>
      <w:r>
        <w:rPr>
          <w:rFonts w:ascii="Times New Roman" w:eastAsia="Times New Roman" w:hAnsi="Times New Roman" w:cs="Times New Roman"/>
          <w:color w:val="000000"/>
          <w:spacing w:val="0"/>
          <w:w w:val="100"/>
          <w:position w:val="0"/>
          <w:sz w:val="24"/>
          <w:szCs w:val="24"/>
          <w:shd w:val="clear" w:color="auto" w:fill="auto"/>
          <w:lang w:val="cs-CZ" w:eastAsia="cs-CZ" w:bidi="cs-CZ"/>
        </w:rPr>
        <w:t>Čl. V. PLATEBNÍ PODMÍNKY</w:t>
      </w:r>
      <w:bookmarkEnd w:id="40"/>
      <w:bookmarkEnd w:id="41"/>
      <w:bookmarkEnd w:id="42"/>
    </w:p>
    <w:p>
      <w:pPr>
        <w:pStyle w:val="Style2"/>
        <w:keepNext w:val="0"/>
        <w:keepLines w:val="0"/>
        <w:widowControl w:val="0"/>
        <w:numPr>
          <w:ilvl w:val="0"/>
          <w:numId w:val="9"/>
        </w:numPr>
        <w:shd w:val="clear" w:color="auto" w:fill="auto"/>
        <w:tabs>
          <w:tab w:pos="360" w:val="left"/>
        </w:tabs>
        <w:bidi w:val="0"/>
        <w:spacing w:before="0" w:after="120" w:line="288" w:lineRule="auto"/>
        <w:ind w:left="0" w:right="0" w:firstLine="0"/>
        <w:jc w:val="both"/>
      </w:pPr>
      <w:bookmarkStart w:id="43" w:name="bookmark43"/>
      <w:bookmarkEnd w:id="43"/>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neposkytne zhotoviteli zálohu.</w:t>
      </w:r>
    </w:p>
    <w:p>
      <w:pPr>
        <w:pStyle w:val="Style2"/>
        <w:keepNext w:val="0"/>
        <w:keepLines w:val="0"/>
        <w:widowControl w:val="0"/>
        <w:numPr>
          <w:ilvl w:val="0"/>
          <w:numId w:val="9"/>
        </w:numPr>
        <w:shd w:val="clear" w:color="auto" w:fill="auto"/>
        <w:tabs>
          <w:tab w:pos="360" w:val="left"/>
        </w:tabs>
        <w:bidi w:val="0"/>
        <w:spacing w:before="0" w:after="200" w:line="240" w:lineRule="auto"/>
        <w:ind w:left="300" w:right="0" w:hanging="30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Cena díla bude hrazena na základě daňového dokladu po dokončení, předání a převzetí díla.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Daňový doklad je zhotovitel povinen vystavit nejpozději do 7 pracovních dnů ode dne uskutečnění zdanitelného plnění.</w:t>
      </w:r>
    </w:p>
    <w:p>
      <w:pPr>
        <w:pStyle w:val="Style2"/>
        <w:keepNext w:val="0"/>
        <w:keepLines w:val="0"/>
        <w:widowControl w:val="0"/>
        <w:numPr>
          <w:ilvl w:val="0"/>
          <w:numId w:val="9"/>
        </w:numPr>
        <w:shd w:val="clear" w:color="auto" w:fill="auto"/>
        <w:tabs>
          <w:tab w:pos="360" w:val="left"/>
        </w:tabs>
        <w:bidi w:val="0"/>
        <w:spacing w:before="0" w:after="120" w:line="240" w:lineRule="auto"/>
        <w:ind w:left="300" w:right="0" w:hanging="300"/>
        <w:jc w:val="both"/>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Nedojde-li mezi oběma smluvními stranami k dohodě při odsouhlasení množství nebo druhu provedených prací, je zhotovitel oprávněn fakturovat pouze ty práce, dodávky a služby, u kterých nedošlo k rozporu.</w:t>
      </w:r>
    </w:p>
    <w:p>
      <w:pPr>
        <w:pStyle w:val="Style2"/>
        <w:keepNext w:val="0"/>
        <w:keepLines w:val="0"/>
        <w:widowControl w:val="0"/>
        <w:numPr>
          <w:ilvl w:val="0"/>
          <w:numId w:val="9"/>
        </w:numPr>
        <w:shd w:val="clear" w:color="auto" w:fill="auto"/>
        <w:tabs>
          <w:tab w:pos="360" w:val="left"/>
        </w:tabs>
        <w:bidi w:val="0"/>
        <w:spacing w:before="0" w:after="120" w:line="288" w:lineRule="auto"/>
        <w:ind w:left="300" w:right="0" w:hanging="300"/>
        <w:jc w:val="both"/>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Vyúčtování celkové smluvní ceny díla bude provedeno po dokončení, předání a převzetí díla. Daňový doklad musí obsahovat celkovou smluvní cenu dokončeného díla a platnou sazbu DPH.</w:t>
      </w:r>
    </w:p>
    <w:p>
      <w:pPr>
        <w:pStyle w:val="Style2"/>
        <w:keepNext w:val="0"/>
        <w:keepLines w:val="0"/>
        <w:widowControl w:val="0"/>
        <w:numPr>
          <w:ilvl w:val="0"/>
          <w:numId w:val="9"/>
        </w:numPr>
        <w:shd w:val="clear" w:color="auto" w:fill="auto"/>
        <w:tabs>
          <w:tab w:pos="360" w:val="left"/>
        </w:tabs>
        <w:bidi w:val="0"/>
        <w:spacing w:before="0" w:after="420" w:line="288" w:lineRule="auto"/>
        <w:ind w:left="0" w:right="0" w:firstLine="0"/>
        <w:jc w:val="both"/>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Datem uskutečnění zdanitelného plnění bude den předání a převzetí díla uvedený na předávacím a přejímacím protokolu. Protokol bude nedílnou součástí konečného daňového dokladu.</w:t>
      </w:r>
    </w:p>
    <w:p>
      <w:pPr>
        <w:pStyle w:val="Style2"/>
        <w:keepNext w:val="0"/>
        <w:keepLines w:val="0"/>
        <w:widowControl w:val="0"/>
        <w:numPr>
          <w:ilvl w:val="0"/>
          <w:numId w:val="9"/>
        </w:numPr>
        <w:shd w:val="clear" w:color="auto" w:fill="auto"/>
        <w:tabs>
          <w:tab w:pos="360" w:val="left"/>
        </w:tabs>
        <w:bidi w:val="0"/>
        <w:spacing w:before="0" w:after="120" w:line="288" w:lineRule="auto"/>
        <w:ind w:left="300" w:right="0" w:hanging="300"/>
        <w:jc w:val="both"/>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Všechny daňové doklady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pPr>
        <w:pStyle w:val="Style2"/>
        <w:keepNext w:val="0"/>
        <w:keepLines w:val="0"/>
        <w:widowControl w:val="0"/>
        <w:numPr>
          <w:ilvl w:val="0"/>
          <w:numId w:val="9"/>
        </w:numPr>
        <w:shd w:val="clear" w:color="auto" w:fill="auto"/>
        <w:tabs>
          <w:tab w:pos="360" w:val="left"/>
        </w:tabs>
        <w:bidi w:val="0"/>
        <w:spacing w:before="0" w:after="200" w:line="276" w:lineRule="auto"/>
        <w:ind w:left="300" w:right="0" w:hanging="30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Pokud zhotovitel nedodrží postup fakturace, a poruší tím režim přenesení daňové povinnosti na objednatele, v důsledku čehož dojde u objednatele k prodlení s odvodem DPH, zavazuje se zhotovitel zaplatit objednateli smluvní pokutu ve výši 1,5 násobku částky, která bude správcem daně vyměřena objednateli jako úrok z prodlení s odvodem DPH.</w:t>
      </w:r>
    </w:p>
    <w:p>
      <w:pPr>
        <w:pStyle w:val="Style2"/>
        <w:keepNext w:val="0"/>
        <w:keepLines w:val="0"/>
        <w:widowControl w:val="0"/>
        <w:numPr>
          <w:ilvl w:val="0"/>
          <w:numId w:val="9"/>
        </w:numPr>
        <w:shd w:val="clear" w:color="auto" w:fill="auto"/>
        <w:tabs>
          <w:tab w:pos="360" w:val="left"/>
        </w:tabs>
        <w:bidi w:val="0"/>
        <w:spacing w:before="0" w:after="120" w:line="288" w:lineRule="auto"/>
        <w:ind w:left="380" w:right="0" w:hanging="380"/>
        <w:jc w:val="both"/>
      </w:pPr>
      <w:bookmarkStart w:id="50" w:name="bookmark50"/>
      <w:bookmarkEnd w:id="50"/>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Zhotovitel na konečné faktuře uvede jako den splatnosti datum odpovídající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lhůtě splatnosti 30 dnů </w:t>
      </w:r>
      <w:r>
        <w:rPr>
          <w:rFonts w:ascii="Times New Roman" w:eastAsia="Times New Roman" w:hAnsi="Times New Roman" w:cs="Times New Roman"/>
          <w:color w:val="000000"/>
          <w:spacing w:val="0"/>
          <w:w w:val="100"/>
          <w:position w:val="0"/>
          <w:sz w:val="24"/>
          <w:szCs w:val="24"/>
          <w:shd w:val="clear" w:color="auto" w:fill="auto"/>
          <w:lang w:val="cs-CZ" w:eastAsia="cs-CZ" w:bidi="cs-CZ"/>
        </w:rPr>
        <w:t>od data doručení faktury.</w:t>
      </w:r>
    </w:p>
    <w:p>
      <w:pPr>
        <w:pStyle w:val="Style2"/>
        <w:keepNext w:val="0"/>
        <w:keepLines w:val="0"/>
        <w:widowControl w:val="0"/>
        <w:numPr>
          <w:ilvl w:val="0"/>
          <w:numId w:val="9"/>
        </w:numPr>
        <w:shd w:val="clear" w:color="auto" w:fill="auto"/>
        <w:tabs>
          <w:tab w:pos="360" w:val="left"/>
        </w:tabs>
        <w:bidi w:val="0"/>
        <w:spacing w:before="0" w:after="400" w:line="288" w:lineRule="auto"/>
        <w:ind w:left="380" w:right="0" w:hanging="380"/>
        <w:jc w:val="both"/>
      </w:pPr>
      <w:bookmarkStart w:id="51" w:name="bookmark51"/>
      <w:bookmarkEnd w:id="51"/>
      <w:r>
        <w:rPr>
          <w:rFonts w:ascii="Times New Roman" w:eastAsia="Times New Roman" w:hAnsi="Times New Roman" w:cs="Times New Roman"/>
          <w:color w:val="000000"/>
          <w:spacing w:val="0"/>
          <w:w w:val="100"/>
          <w:position w:val="0"/>
          <w:sz w:val="24"/>
          <w:szCs w:val="24"/>
          <w:shd w:val="clear" w:color="auto" w:fill="auto"/>
          <w:lang w:val="cs-CZ" w:eastAsia="cs-CZ" w:bidi="cs-CZ"/>
        </w:rPr>
        <w:t>Peněžitý závazek (dluh) objednatele se považuje za splněný v den, kdy je dlužná částka připsána na účet zhotovitele.</w:t>
      </w:r>
    </w:p>
    <w:p>
      <w:pPr>
        <w:pStyle w:val="Style9"/>
        <w:keepNext/>
        <w:keepLines/>
        <w:widowControl w:val="0"/>
        <w:shd w:val="clear" w:color="auto" w:fill="auto"/>
        <w:bidi w:val="0"/>
        <w:spacing w:before="0" w:line="240" w:lineRule="auto"/>
        <w:ind w:left="0" w:right="0" w:firstLine="0"/>
        <w:jc w:val="center"/>
      </w:pPr>
      <w:bookmarkStart w:id="52" w:name="bookmark52"/>
      <w:bookmarkStart w:id="53" w:name="bookmark53"/>
      <w:bookmarkStart w:id="54" w:name="bookmark54"/>
      <w:r>
        <w:rPr>
          <w:rFonts w:ascii="Times New Roman" w:eastAsia="Times New Roman" w:hAnsi="Times New Roman" w:cs="Times New Roman"/>
          <w:color w:val="000000"/>
          <w:spacing w:val="0"/>
          <w:w w:val="100"/>
          <w:position w:val="0"/>
          <w:sz w:val="24"/>
          <w:szCs w:val="24"/>
          <w:shd w:val="clear" w:color="auto" w:fill="auto"/>
          <w:lang w:val="cs-CZ" w:eastAsia="cs-CZ" w:bidi="cs-CZ"/>
        </w:rPr>
        <w:t>Čl. VI. SANKCE</w:t>
      </w:r>
      <w:bookmarkEnd w:id="52"/>
      <w:bookmarkEnd w:id="53"/>
      <w:bookmarkEnd w:id="54"/>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zhotovitel v prodlení proti termínu předání a převzetí díla sjednanému podle smlouvy, je povinen zaplatit objednateli smluvní pokutu ve výši 0,3 % z ceny díla za každý i započatý den prodlení.</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57" w:name="bookmark57"/>
      <w:bookmarkEnd w:id="57"/>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objednatel v prodlení s úhradou faktury proti sjednanému termínu je povinen zaplatit zhotoviteli úrok z prodlení ve výši 0,3 % z dlužné částky za každý i započatý den prodlení.</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58" w:name="bookmark58"/>
      <w:bookmarkEnd w:id="58"/>
      <w:r>
        <w:rPr>
          <w:rFonts w:ascii="Times New Roman" w:eastAsia="Times New Roman" w:hAnsi="Times New Roman" w:cs="Times New Roman"/>
          <w:color w:val="000000"/>
          <w:spacing w:val="0"/>
          <w:w w:val="100"/>
          <w:position w:val="0"/>
          <w:sz w:val="24"/>
          <w:szCs w:val="24"/>
          <w:shd w:val="clear" w:color="auto" w:fill="auto"/>
          <w:lang w:val="cs-CZ" w:eastAsia="cs-CZ" w:bidi="cs-CZ"/>
        </w:rPr>
        <w:t>Pro zajištění úhrady oprávněných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1"/>
        </w:numPr>
        <w:shd w:val="clear" w:color="auto" w:fill="auto"/>
        <w:tabs>
          <w:tab w:pos="360" w:val="left"/>
        </w:tabs>
        <w:bidi w:val="0"/>
        <w:spacing w:before="0" w:line="240" w:lineRule="auto"/>
        <w:ind w:left="0" w:right="0" w:firstLine="0"/>
        <w:jc w:val="both"/>
      </w:pPr>
      <w:bookmarkStart w:id="59" w:name="bookmark59"/>
      <w:bookmarkEnd w:id="59"/>
      <w:r>
        <w:rPr>
          <w:rFonts w:ascii="Times New Roman" w:eastAsia="Times New Roman" w:hAnsi="Times New Roman" w:cs="Times New Roman"/>
          <w:color w:val="000000"/>
          <w:spacing w:val="0"/>
          <w:w w:val="100"/>
          <w:position w:val="0"/>
          <w:sz w:val="24"/>
          <w:szCs w:val="24"/>
          <w:shd w:val="clear" w:color="auto" w:fill="auto"/>
          <w:lang w:val="cs-CZ" w:eastAsia="cs-CZ" w:bidi="cs-CZ"/>
        </w:rPr>
        <w:t>Splatnost sankcí uvedených v této smlouvě nastává okamžikem jejich vzniku.</w:t>
      </w:r>
    </w:p>
    <w:p>
      <w:pPr>
        <w:pStyle w:val="Style2"/>
        <w:keepNext w:val="0"/>
        <w:keepLines w:val="0"/>
        <w:widowControl w:val="0"/>
        <w:numPr>
          <w:ilvl w:val="0"/>
          <w:numId w:val="11"/>
        </w:numPr>
        <w:shd w:val="clear" w:color="auto" w:fill="auto"/>
        <w:tabs>
          <w:tab w:pos="360" w:val="left"/>
        </w:tabs>
        <w:bidi w:val="0"/>
        <w:spacing w:before="0" w:after="500" w:line="240" w:lineRule="auto"/>
        <w:ind w:left="380" w:right="0" w:hanging="380"/>
        <w:jc w:val="both"/>
      </w:pPr>
      <w:bookmarkStart w:id="60" w:name="bookmark60"/>
      <w:bookmarkEnd w:id="60"/>
      <w:r>
        <w:rPr>
          <w:rFonts w:ascii="Times New Roman" w:eastAsia="Times New Roman" w:hAnsi="Times New Roman" w:cs="Times New Roman"/>
          <w:color w:val="000000"/>
          <w:spacing w:val="0"/>
          <w:w w:val="100"/>
          <w:position w:val="0"/>
          <w:sz w:val="24"/>
          <w:szCs w:val="24"/>
          <w:shd w:val="clear" w:color="auto" w:fill="auto"/>
          <w:lang w:val="cs-CZ" w:eastAsia="cs-CZ" w:bidi="cs-CZ"/>
        </w:rPr>
        <w:t>Zaplacení smluvní pokuty nemá vliv na vznik práva na náhradu škody v důsledku porušení povinností zhotovitele vyplývajících z této smlouvy.</w:t>
      </w:r>
    </w:p>
    <w:p>
      <w:pPr>
        <w:pStyle w:val="Style9"/>
        <w:keepNext/>
        <w:keepLines/>
        <w:widowControl w:val="0"/>
        <w:shd w:val="clear" w:color="auto" w:fill="auto"/>
        <w:bidi w:val="0"/>
        <w:spacing w:before="0" w:line="240" w:lineRule="auto"/>
        <w:ind w:left="0" w:right="0" w:firstLine="0"/>
        <w:jc w:val="center"/>
      </w:pPr>
      <w:bookmarkStart w:id="61" w:name="bookmark61"/>
      <w:bookmarkStart w:id="62" w:name="bookmark62"/>
      <w:bookmarkStart w:id="63" w:name="bookmark63"/>
      <w:r>
        <w:rPr>
          <w:rFonts w:ascii="Times New Roman" w:eastAsia="Times New Roman" w:hAnsi="Times New Roman" w:cs="Times New Roman"/>
          <w:color w:val="000000"/>
          <w:spacing w:val="0"/>
          <w:w w:val="100"/>
          <w:position w:val="0"/>
          <w:sz w:val="24"/>
          <w:szCs w:val="24"/>
          <w:shd w:val="clear" w:color="auto" w:fill="auto"/>
          <w:lang w:val="cs-CZ" w:eastAsia="cs-CZ" w:bidi="cs-CZ"/>
        </w:rPr>
        <w:t>Čl. VII. ZAJIŠTĚNÍ ZÁVAZKU, ZÁRUKA</w:t>
      </w:r>
      <w:bookmarkEnd w:id="61"/>
      <w:bookmarkEnd w:id="62"/>
      <w:bookmarkEnd w:id="63"/>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64" w:name="bookmark64"/>
      <w:bookmarkEnd w:id="64"/>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Po ukončení prací bude dílo předáno bez vad a nedodělků. Záruční doba se sjednává na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60 měsíců </w:t>
      </w:r>
      <w:r>
        <w:rPr>
          <w:rFonts w:ascii="Times New Roman" w:eastAsia="Times New Roman" w:hAnsi="Times New Roman" w:cs="Times New Roman"/>
          <w:color w:val="000000"/>
          <w:spacing w:val="0"/>
          <w:w w:val="100"/>
          <w:position w:val="0"/>
          <w:sz w:val="24"/>
          <w:szCs w:val="24"/>
          <w:shd w:val="clear" w:color="auto" w:fill="auto"/>
          <w:lang w:val="cs-CZ" w:eastAsia="cs-CZ" w:bidi="cs-CZ"/>
        </w:rPr>
        <w:t>ode dne předání a převzetí díla objednatelem.</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65" w:name="bookmark65"/>
      <w:bookmarkEnd w:id="65"/>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povinen nejpozději do 14-ti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30-ti dnů ode dne obdržení reklamace. Současně zhotovitel písemně navrhne, do kterého termínu vadu odstraní.</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66" w:name="bookmark66"/>
      <w:bookmarkEnd w:id="66"/>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povinen nastoupit neprodleně k odstranění reklamované vady, nejpozději však do 30-ti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pPr>
        <w:pStyle w:val="Style2"/>
        <w:keepNext w:val="0"/>
        <w:keepLines w:val="0"/>
        <w:widowControl w:val="0"/>
        <w:numPr>
          <w:ilvl w:val="0"/>
          <w:numId w:val="13"/>
        </w:numPr>
        <w:shd w:val="clear" w:color="auto" w:fill="auto"/>
        <w:tabs>
          <w:tab w:pos="378" w:val="left"/>
        </w:tabs>
        <w:bidi w:val="0"/>
        <w:spacing w:before="0" w:after="380" w:line="293" w:lineRule="auto"/>
        <w:ind w:left="380" w:right="0" w:hanging="380"/>
        <w:jc w:val="both"/>
      </w:pPr>
      <w:bookmarkStart w:id="67" w:name="bookmark67"/>
      <w:bookmarkEnd w:id="67"/>
      <w:r>
        <w:rPr>
          <w:rFonts w:ascii="Times New Roman" w:eastAsia="Times New Roman" w:hAnsi="Times New Roman" w:cs="Times New Roman"/>
          <w:color w:val="000000"/>
          <w:spacing w:val="0"/>
          <w:w w:val="100"/>
          <w:position w:val="0"/>
          <w:sz w:val="24"/>
          <w:szCs w:val="24"/>
          <w:shd w:val="clear" w:color="auto" w:fill="auto"/>
          <w:lang w:val="cs-CZ" w:eastAsia="cs-CZ" w:bidi="cs-CZ"/>
        </w:rPr>
        <w:t>Pokud zhotovitel nenastoupí k provedení díla do 15-ti dnů od termínu zahájení díla, může objednatel odstoupit od smlouvy.</w:t>
      </w:r>
    </w:p>
    <w:p>
      <w:pPr>
        <w:pStyle w:val="Style9"/>
        <w:keepNext/>
        <w:keepLines/>
        <w:widowControl w:val="0"/>
        <w:shd w:val="clear" w:color="auto" w:fill="auto"/>
        <w:bidi w:val="0"/>
        <w:spacing w:before="0" w:line="240" w:lineRule="auto"/>
        <w:ind w:left="0" w:right="0" w:firstLine="0"/>
        <w:jc w:val="center"/>
      </w:pPr>
      <w:bookmarkStart w:id="68" w:name="bookmark68"/>
      <w:bookmarkStart w:id="69" w:name="bookmark69"/>
      <w:bookmarkStart w:id="70" w:name="bookmark70"/>
      <w:r>
        <w:rPr>
          <w:rFonts w:ascii="Times New Roman" w:eastAsia="Times New Roman" w:hAnsi="Times New Roman" w:cs="Times New Roman"/>
          <w:color w:val="000000"/>
          <w:spacing w:val="0"/>
          <w:w w:val="100"/>
          <w:position w:val="0"/>
          <w:sz w:val="24"/>
          <w:szCs w:val="24"/>
          <w:shd w:val="clear" w:color="auto" w:fill="auto"/>
          <w:lang w:val="cs-CZ" w:eastAsia="cs-CZ" w:bidi="cs-CZ"/>
        </w:rPr>
        <w:t>Čl. VIII. NÁHRADA ŠKODY</w:t>
      </w:r>
      <w:bookmarkEnd w:id="68"/>
      <w:bookmarkEnd w:id="69"/>
      <w:bookmarkEnd w:id="70"/>
    </w:p>
    <w:p>
      <w:pPr>
        <w:pStyle w:val="Style2"/>
        <w:keepNext w:val="0"/>
        <w:keepLines w:val="0"/>
        <w:widowControl w:val="0"/>
        <w:numPr>
          <w:ilvl w:val="0"/>
          <w:numId w:val="15"/>
        </w:numPr>
        <w:shd w:val="clear" w:color="auto" w:fill="auto"/>
        <w:tabs>
          <w:tab w:pos="378" w:val="left"/>
        </w:tabs>
        <w:bidi w:val="0"/>
        <w:spacing w:before="0" w:line="240" w:lineRule="auto"/>
        <w:ind w:left="380" w:right="0" w:hanging="380"/>
        <w:jc w:val="both"/>
      </w:pPr>
      <w:bookmarkStart w:id="71" w:name="bookmark71"/>
      <w:bookmarkEnd w:id="71"/>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5"/>
        </w:numPr>
        <w:shd w:val="clear" w:color="auto" w:fill="auto"/>
        <w:tabs>
          <w:tab w:pos="378" w:val="left"/>
        </w:tabs>
        <w:bidi w:val="0"/>
        <w:spacing w:before="0" w:after="460" w:line="240" w:lineRule="auto"/>
        <w:ind w:left="380" w:right="0" w:hanging="380"/>
        <w:jc w:val="both"/>
      </w:pPr>
      <w:bookmarkStart w:id="72" w:name="bookmark72"/>
      <w:bookmarkEnd w:id="72"/>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9"/>
        <w:keepNext/>
        <w:keepLines/>
        <w:widowControl w:val="0"/>
        <w:shd w:val="clear" w:color="auto" w:fill="auto"/>
        <w:bidi w:val="0"/>
        <w:spacing w:before="0" w:after="320" w:line="240" w:lineRule="auto"/>
        <w:ind w:left="0" w:right="0" w:firstLine="0"/>
        <w:jc w:val="center"/>
      </w:pPr>
      <w:bookmarkStart w:id="73" w:name="bookmark73"/>
      <w:bookmarkStart w:id="74" w:name="bookmark74"/>
      <w:bookmarkStart w:id="75" w:name="bookmark75"/>
      <w:r>
        <w:rPr>
          <w:rFonts w:ascii="Times New Roman" w:eastAsia="Times New Roman" w:hAnsi="Times New Roman" w:cs="Times New Roman"/>
          <w:color w:val="000000"/>
          <w:spacing w:val="0"/>
          <w:w w:val="100"/>
          <w:position w:val="0"/>
          <w:sz w:val="24"/>
          <w:szCs w:val="24"/>
          <w:shd w:val="clear" w:color="auto" w:fill="auto"/>
          <w:lang w:val="cs-CZ" w:eastAsia="cs-CZ" w:bidi="cs-CZ"/>
        </w:rPr>
        <w:t>Čl. IX. OSTATNÍ USTANOVENÍ</w:t>
      </w:r>
      <w:bookmarkEnd w:id="73"/>
      <w:bookmarkEnd w:id="74"/>
      <w:bookmarkEnd w:id="75"/>
    </w:p>
    <w:p>
      <w:pPr>
        <w:pStyle w:val="Style2"/>
        <w:keepNext w:val="0"/>
        <w:keepLines w:val="0"/>
        <w:widowControl w:val="0"/>
        <w:numPr>
          <w:ilvl w:val="0"/>
          <w:numId w:val="17"/>
        </w:numPr>
        <w:shd w:val="clear" w:color="auto" w:fill="auto"/>
        <w:tabs>
          <w:tab w:pos="378" w:val="left"/>
        </w:tabs>
        <w:bidi w:val="0"/>
        <w:spacing w:before="0" w:line="240" w:lineRule="auto"/>
        <w:ind w:left="380" w:right="0" w:hanging="380"/>
        <w:jc w:val="both"/>
      </w:pPr>
      <w:bookmarkStart w:id="76" w:name="bookmark76"/>
      <w:bookmarkEnd w:id="76"/>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17"/>
        </w:numPr>
        <w:shd w:val="clear" w:color="auto" w:fill="auto"/>
        <w:tabs>
          <w:tab w:pos="378" w:val="left"/>
        </w:tabs>
        <w:bidi w:val="0"/>
        <w:spacing w:before="0" w:after="0" w:line="240" w:lineRule="auto"/>
        <w:ind w:left="0" w:right="0" w:firstLine="0"/>
        <w:jc w:val="both"/>
      </w:pPr>
      <w:bookmarkStart w:id="77" w:name="bookmark77"/>
      <w:bookmarkEnd w:id="77"/>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umožní:</w:t>
      </w:r>
    </w:p>
    <w:p>
      <w:pPr>
        <w:pStyle w:val="Style2"/>
        <w:keepNext w:val="0"/>
        <w:keepLines w:val="0"/>
        <w:widowControl w:val="0"/>
        <w:shd w:val="clear" w:color="auto" w:fill="auto"/>
        <w:bidi w:val="0"/>
        <w:spacing w:before="0" w:line="240" w:lineRule="auto"/>
        <w:ind w:left="380" w:right="0" w:firstLine="0"/>
        <w:jc w:val="both"/>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:napojení na vnitřní rozvody elektro 230V a uložení materiálu a nářadí v uzamykatelném prostoru.)</w:t>
      </w:r>
    </w:p>
    <w:p>
      <w:pPr>
        <w:pStyle w:val="Style9"/>
        <w:keepNext/>
        <w:keepLines/>
        <w:widowControl w:val="0"/>
        <w:shd w:val="clear" w:color="auto" w:fill="auto"/>
        <w:bidi w:val="0"/>
        <w:spacing w:before="0" w:line="240" w:lineRule="auto"/>
        <w:ind w:left="0" w:right="0" w:firstLine="0"/>
        <w:jc w:val="center"/>
      </w:pPr>
      <w:bookmarkStart w:id="78" w:name="bookmark78"/>
      <w:bookmarkStart w:id="79" w:name="bookmark79"/>
      <w:bookmarkStart w:id="80" w:name="bookmark80"/>
      <w:r>
        <w:rPr>
          <w:rFonts w:ascii="Times New Roman" w:eastAsia="Times New Roman" w:hAnsi="Times New Roman" w:cs="Times New Roman"/>
          <w:color w:val="000000"/>
          <w:spacing w:val="0"/>
          <w:w w:val="100"/>
          <w:position w:val="0"/>
          <w:sz w:val="24"/>
          <w:szCs w:val="24"/>
          <w:shd w:val="clear" w:color="auto" w:fill="auto"/>
          <w:lang w:val="cs-CZ" w:eastAsia="cs-CZ" w:bidi="cs-CZ"/>
        </w:rPr>
        <w:t>Čl. X. COMPLIANCE DOLOŽKA</w:t>
      </w:r>
      <w:bookmarkEnd w:id="78"/>
      <w:bookmarkEnd w:id="79"/>
      <w:bookmarkEnd w:id="80"/>
    </w:p>
    <w:p>
      <w:pPr>
        <w:pStyle w:val="Style2"/>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81" w:name="bookmark81"/>
      <w:bookmarkEnd w:id="81"/>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82" w:name="bookmark82"/>
      <w:bookmarkEnd w:id="82"/>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9"/>
        </w:numPr>
        <w:shd w:val="clear" w:color="auto" w:fill="auto"/>
        <w:tabs>
          <w:tab w:pos="378" w:val="left"/>
        </w:tabs>
        <w:bidi w:val="0"/>
        <w:spacing w:before="0" w:after="0" w:line="240" w:lineRule="auto"/>
        <w:ind w:left="0" w:right="0" w:firstLine="0"/>
        <w:jc w:val="both"/>
      </w:pPr>
      <w:bookmarkStart w:id="83" w:name="bookmark83"/>
      <w:bookmarkEnd w:id="83"/>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se seznámil se zásadami, hodnotami a cíli Compliance programu</w:t>
      </w:r>
    </w:p>
    <w:p>
      <w:pPr>
        <w:pStyle w:val="Style2"/>
        <w:keepNext w:val="0"/>
        <w:keepLines w:val="0"/>
        <w:widowControl w:val="0"/>
        <w:shd w:val="clear" w:color="auto" w:fill="auto"/>
        <w:tabs>
          <w:tab w:pos="2458" w:val="left"/>
          <w:tab w:pos="4786" w:val="left"/>
          <w:tab w:pos="6725" w:val="left"/>
          <w:tab w:pos="8688"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w:t>
        <w:tab/>
        <w:t>Ohře,</w:t>
        <w:tab/>
        <w:t>s.</w:t>
        <w:tab/>
        <w:t>p.</w:t>
        <w:tab/>
        <w:t>(viz</w:t>
      </w:r>
    </w:p>
    <w:p>
      <w:pPr>
        <w:pStyle w:val="Style2"/>
        <w:keepNext w:val="0"/>
        <w:keepLines w:val="0"/>
        <w:widowControl w:val="0"/>
        <w:shd w:val="clear" w:color="auto" w:fill="auto"/>
        <w:bidi w:val="0"/>
        <w:spacing w:before="0" w:line="240" w:lineRule="auto"/>
        <w:ind w:left="0" w:right="0" w:firstLine="0"/>
        <w:jc w:val="both"/>
      </w:pP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84" w:name="bookmark84"/>
      <w:bookmarkEnd w:id="84"/>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keepLines/>
        <w:widowControl w:val="0"/>
        <w:shd w:val="clear" w:color="auto" w:fill="auto"/>
        <w:bidi w:val="0"/>
        <w:spacing w:before="0" w:line="240" w:lineRule="auto"/>
        <w:ind w:left="0" w:right="0" w:firstLine="0"/>
        <w:jc w:val="center"/>
      </w:pPr>
      <w:bookmarkStart w:id="85" w:name="bookmark85"/>
      <w:bookmarkStart w:id="86" w:name="bookmark86"/>
      <w:bookmarkStart w:id="87" w:name="bookmark87"/>
      <w:r>
        <w:rPr>
          <w:rFonts w:ascii="Times New Roman" w:eastAsia="Times New Roman" w:hAnsi="Times New Roman" w:cs="Times New Roman"/>
          <w:color w:val="000000"/>
          <w:spacing w:val="0"/>
          <w:w w:val="100"/>
          <w:position w:val="0"/>
          <w:sz w:val="24"/>
          <w:szCs w:val="24"/>
          <w:shd w:val="clear" w:color="auto" w:fill="auto"/>
          <w:lang w:val="cs-CZ" w:eastAsia="cs-CZ" w:bidi="cs-CZ"/>
        </w:rPr>
        <w:t>Čl. XI. Ochrana a zpracování osobních údajů</w:t>
      </w:r>
      <w:bookmarkEnd w:id="85"/>
      <w:bookmarkEnd w:id="86"/>
      <w:bookmarkEnd w:id="87"/>
    </w:p>
    <w:p>
      <w:pPr>
        <w:pStyle w:val="Style2"/>
        <w:keepNext w:val="0"/>
        <w:keepLines w:val="0"/>
        <w:widowControl w:val="0"/>
        <w:shd w:val="clear" w:color="auto" w:fill="auto"/>
        <w:bidi w:val="0"/>
        <w:spacing w:before="0" w:after="3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http://www.poh.cz/informace-o-zpracovani-osobnich-udaju/d-</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1369/p1=1459</w:t>
      </w:r>
      <w:r>
        <w:fldChar w:fldCharType="end"/>
      </w:r>
    </w:p>
    <w:p>
      <w:pPr>
        <w:pStyle w:val="Style9"/>
        <w:keepNext/>
        <w:keepLines/>
        <w:widowControl w:val="0"/>
        <w:shd w:val="clear" w:color="auto" w:fill="auto"/>
        <w:bidi w:val="0"/>
        <w:spacing w:before="0" w:after="340" w:line="240" w:lineRule="auto"/>
        <w:ind w:left="0" w:right="0" w:firstLine="0"/>
        <w:jc w:val="center"/>
      </w:pPr>
      <w:bookmarkStart w:id="88" w:name="bookmark88"/>
      <w:bookmarkStart w:id="89" w:name="bookmark89"/>
      <w:bookmarkStart w:id="90" w:name="bookmark90"/>
      <w:r>
        <w:rPr>
          <w:rFonts w:ascii="Times New Roman" w:eastAsia="Times New Roman" w:hAnsi="Times New Roman" w:cs="Times New Roman"/>
          <w:color w:val="000000"/>
          <w:spacing w:val="0"/>
          <w:w w:val="100"/>
          <w:position w:val="0"/>
          <w:sz w:val="24"/>
          <w:szCs w:val="24"/>
          <w:shd w:val="clear" w:color="auto" w:fill="auto"/>
          <w:lang w:val="cs-CZ" w:eastAsia="cs-CZ" w:bidi="cs-CZ"/>
        </w:rPr>
        <w:t>Čl. XII. ZÁVĚREČNÁ USTANOVENÍ</w:t>
      </w:r>
      <w:bookmarkEnd w:id="88"/>
      <w:bookmarkEnd w:id="89"/>
      <w:bookmarkEnd w:id="90"/>
    </w:p>
    <w:p>
      <w:pPr>
        <w:pStyle w:val="Style2"/>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91" w:name="bookmark91"/>
      <w:bookmarkEnd w:id="91"/>
      <w:r>
        <w:rPr>
          <w:rFonts w:ascii="Times New Roman" w:eastAsia="Times New Roman" w:hAnsi="Times New Roman" w:cs="Times New Roman"/>
          <w:color w:val="000000"/>
          <w:spacing w:val="0"/>
          <w:w w:val="100"/>
          <w:position w:val="0"/>
          <w:sz w:val="24"/>
          <w:szCs w:val="24"/>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1"/>
        </w:numPr>
        <w:shd w:val="clear" w:color="auto" w:fill="auto"/>
        <w:tabs>
          <w:tab w:pos="372" w:val="left"/>
        </w:tabs>
        <w:bidi w:val="0"/>
        <w:spacing w:before="0" w:line="288" w:lineRule="auto"/>
        <w:ind w:left="380" w:right="0" w:hanging="380"/>
        <w:jc w:val="both"/>
      </w:pPr>
      <w:bookmarkStart w:id="92" w:name="bookmark92"/>
      <w:bookmarkEnd w:id="92"/>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pPr>
        <w:pStyle w:val="Style2"/>
        <w:keepNext w:val="0"/>
        <w:keepLines w:val="0"/>
        <w:widowControl w:val="0"/>
        <w:numPr>
          <w:ilvl w:val="0"/>
          <w:numId w:val="21"/>
        </w:numPr>
        <w:shd w:val="clear" w:color="auto" w:fill="auto"/>
        <w:tabs>
          <w:tab w:pos="372" w:val="left"/>
        </w:tabs>
        <w:bidi w:val="0"/>
        <w:spacing w:before="0" w:after="140" w:line="240" w:lineRule="auto"/>
        <w:ind w:left="0" w:right="0" w:firstLine="0"/>
        <w:jc w:val="left"/>
      </w:pPr>
      <w:bookmarkStart w:id="93" w:name="bookmark93"/>
      <w:bookmarkEnd w:id="93"/>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94" w:name="bookmark94"/>
      <w:bookmarkEnd w:id="94"/>
      <w:r>
        <w:rPr>
          <w:rFonts w:ascii="Times New Roman" w:eastAsia="Times New Roman" w:hAnsi="Times New Roman" w:cs="Times New Roman"/>
          <w:color w:val="000000"/>
          <w:spacing w:val="0"/>
          <w:w w:val="100"/>
          <w:position w:val="0"/>
          <w:sz w:val="24"/>
          <w:szCs w:val="24"/>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předloženy příslušnému soudu.</w:t>
      </w:r>
    </w:p>
    <w:p>
      <w:pPr>
        <w:pStyle w:val="Style2"/>
        <w:keepNext w:val="0"/>
        <w:keepLines w:val="0"/>
        <w:widowControl w:val="0"/>
        <w:numPr>
          <w:ilvl w:val="0"/>
          <w:numId w:val="21"/>
        </w:numPr>
        <w:shd w:val="clear" w:color="auto" w:fill="auto"/>
        <w:tabs>
          <w:tab w:pos="372" w:val="left"/>
        </w:tabs>
        <w:bidi w:val="0"/>
        <w:spacing w:before="0" w:after="0" w:line="240" w:lineRule="auto"/>
        <w:ind w:left="380" w:right="0" w:hanging="380"/>
        <w:jc w:val="both"/>
      </w:pPr>
      <w:bookmarkStart w:id="95" w:name="bookmark95"/>
      <w:bookmarkEnd w:id="95"/>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oprávněn odstoupit od smlouvy při podstatném porušení smlouvy zhotovitelem, a to zejména při:</w:t>
      </w:r>
    </w:p>
    <w:p>
      <w:pPr>
        <w:pStyle w:val="Style2"/>
        <w:keepNext w:val="0"/>
        <w:keepLines w:val="0"/>
        <w:widowControl w:val="0"/>
        <w:numPr>
          <w:ilvl w:val="0"/>
          <w:numId w:val="23"/>
        </w:numPr>
        <w:shd w:val="clear" w:color="auto" w:fill="auto"/>
        <w:tabs>
          <w:tab w:pos="740" w:val="left"/>
        </w:tabs>
        <w:bidi w:val="0"/>
        <w:spacing w:before="0" w:after="0" w:line="240" w:lineRule="auto"/>
        <w:ind w:left="0" w:right="0" w:firstLine="380"/>
        <w:jc w:val="both"/>
      </w:pPr>
      <w:bookmarkStart w:id="96" w:name="bookmark96"/>
      <w:bookmarkEnd w:id="96"/>
      <w:r>
        <w:rPr>
          <w:rFonts w:ascii="Times New Roman" w:eastAsia="Times New Roman" w:hAnsi="Times New Roman" w:cs="Times New Roman"/>
          <w:color w:val="000000"/>
          <w:spacing w:val="0"/>
          <w:w w:val="100"/>
          <w:position w:val="0"/>
          <w:sz w:val="24"/>
          <w:szCs w:val="24"/>
          <w:shd w:val="clear" w:color="auto" w:fill="auto"/>
          <w:lang w:val="cs-CZ" w:eastAsia="cs-CZ" w:bidi="cs-CZ"/>
        </w:rPr>
        <w:t>prodlení zhotovitele se splněním termínu předání díla,</w:t>
      </w:r>
    </w:p>
    <w:p>
      <w:pPr>
        <w:pStyle w:val="Style2"/>
        <w:keepNext w:val="0"/>
        <w:keepLines w:val="0"/>
        <w:widowControl w:val="0"/>
        <w:numPr>
          <w:ilvl w:val="0"/>
          <w:numId w:val="23"/>
        </w:numPr>
        <w:shd w:val="clear" w:color="auto" w:fill="auto"/>
        <w:tabs>
          <w:tab w:pos="752" w:val="left"/>
        </w:tabs>
        <w:bidi w:val="0"/>
        <w:spacing w:before="0" w:after="0" w:line="240" w:lineRule="auto"/>
        <w:ind w:left="0" w:right="0" w:firstLine="380"/>
        <w:jc w:val="both"/>
      </w:pPr>
      <w:bookmarkStart w:id="97" w:name="bookmark97"/>
      <w:bookmarkEnd w:id="97"/>
      <w:r>
        <w:rPr>
          <w:rFonts w:ascii="Times New Roman" w:eastAsia="Times New Roman" w:hAnsi="Times New Roman" w:cs="Times New Roman"/>
          <w:color w:val="000000"/>
          <w:spacing w:val="0"/>
          <w:w w:val="100"/>
          <w:position w:val="0"/>
          <w:sz w:val="24"/>
          <w:szCs w:val="24"/>
          <w:shd w:val="clear" w:color="auto" w:fill="auto"/>
          <w:lang w:val="cs-CZ" w:eastAsia="cs-CZ" w:bidi="cs-CZ"/>
        </w:rPr>
        <w:t>bezdůvodném přerušení prací zhotovitelem, které trvá více než 14 dnů,</w:t>
      </w:r>
    </w:p>
    <w:p>
      <w:pPr>
        <w:pStyle w:val="Style2"/>
        <w:keepNext w:val="0"/>
        <w:keepLines w:val="0"/>
        <w:widowControl w:val="0"/>
        <w:numPr>
          <w:ilvl w:val="0"/>
          <w:numId w:val="23"/>
        </w:numPr>
        <w:shd w:val="clear" w:color="auto" w:fill="auto"/>
        <w:tabs>
          <w:tab w:pos="752" w:val="left"/>
        </w:tabs>
        <w:bidi w:val="0"/>
        <w:spacing w:before="0" w:line="240" w:lineRule="auto"/>
        <w:ind w:left="740" w:right="0" w:hanging="360"/>
        <w:jc w:val="both"/>
      </w:pPr>
      <w:bookmarkStart w:id="98" w:name="bookmark98"/>
      <w:bookmarkEnd w:id="98"/>
      <w:r>
        <w:rPr>
          <w:rFonts w:ascii="Times New Roman" w:eastAsia="Times New Roman" w:hAnsi="Times New Roman" w:cs="Times New Roman"/>
          <w:color w:val="000000"/>
          <w:spacing w:val="0"/>
          <w:w w:val="100"/>
          <w:position w:val="0"/>
          <w:sz w:val="24"/>
          <w:szCs w:val="24"/>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pPr>
        <w:pStyle w:val="Style2"/>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99" w:name="bookmark99"/>
      <w:bookmarkEnd w:id="99"/>
      <w:r>
        <w:rPr>
          <w:rFonts w:ascii="Times New Roman" w:eastAsia="Times New Roman" w:hAnsi="Times New Roman" w:cs="Times New Roman"/>
          <w:color w:val="000000"/>
          <w:spacing w:val="0"/>
          <w:w w:val="100"/>
          <w:position w:val="0"/>
          <w:sz w:val="24"/>
          <w:szCs w:val="24"/>
          <w:shd w:val="clear" w:color="auto" w:fill="auto"/>
          <w:lang w:val="cs-CZ" w:eastAsia="cs-CZ" w:bidi="cs-CZ"/>
        </w:rPr>
        <w:t>Práce nad rámec zadání, budou oboustranně odsouhlaseny, a budou předmětem dodatku k této smlouvě.</w:t>
      </w:r>
    </w:p>
    <w:p>
      <w:pPr>
        <w:pStyle w:val="Style2"/>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100" w:name="bookmark100"/>
      <w:bookmarkEnd w:id="10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se s obsahem smlouvy seznámily, s ním souhlasí, neboť tento odpovídá jejich projevené vůli a na důkaz připojují svoje podpisy.</w:t>
      </w:r>
    </w:p>
    <w:p>
      <w:pPr>
        <w:pStyle w:val="Style2"/>
        <w:keepNext w:val="0"/>
        <w:keepLines w:val="0"/>
        <w:widowControl w:val="0"/>
        <w:numPr>
          <w:ilvl w:val="0"/>
          <w:numId w:val="21"/>
        </w:numPr>
        <w:shd w:val="clear" w:color="auto" w:fill="auto"/>
        <w:tabs>
          <w:tab w:pos="372" w:val="left"/>
        </w:tabs>
        <w:bidi w:val="0"/>
        <w:spacing w:before="0" w:line="240" w:lineRule="auto"/>
        <w:ind w:left="0" w:right="0" w:firstLine="0"/>
        <w:jc w:val="left"/>
      </w:pPr>
      <w:bookmarkStart w:id="101" w:name="bookmark101"/>
      <w:bookmarkEnd w:id="101"/>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r>
        <w:br w:type="page"/>
      </w:r>
    </w:p>
    <w:p>
      <w:pPr>
        <w:pStyle w:val="Style2"/>
        <w:keepNext w:val="0"/>
        <w:keepLines w:val="0"/>
        <w:widowControl w:val="0"/>
        <w:numPr>
          <w:ilvl w:val="0"/>
          <w:numId w:val="21"/>
        </w:numPr>
        <w:shd w:val="clear" w:color="auto" w:fill="auto"/>
        <w:tabs>
          <w:tab w:pos="378" w:val="left"/>
        </w:tabs>
        <w:bidi w:val="0"/>
        <w:spacing w:before="0" w:line="240" w:lineRule="auto"/>
        <w:ind w:left="300" w:right="0" w:hanging="300"/>
        <w:jc w:val="left"/>
      </w:pPr>
      <w:bookmarkStart w:id="102" w:name="bookmark102"/>
      <w:bookmarkEnd w:id="102"/>
      <w:r>
        <w:rPr>
          <w:rFonts w:ascii="Times New Roman" w:eastAsia="Times New Roman" w:hAnsi="Times New Roman" w:cs="Times New Roman"/>
          <w:color w:val="000000"/>
          <w:spacing w:val="0"/>
          <w:w w:val="100"/>
          <w:position w:val="0"/>
          <w:sz w:val="24"/>
          <w:szCs w:val="24"/>
          <w:shd w:val="clear" w:color="auto" w:fill="auto"/>
          <w:lang w:val="cs-CZ" w:eastAsia="cs-CZ" w:bidi="cs-CZ"/>
        </w:rPr>
        <w:t>Na svědectví tohoto smluvní strany tímto podepisují smlouvu. Tato smlouva je vyhotovena ve třech vyhotoveních, z nichž každé má platnost originálu.</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č. 1 – Zápis o předání, převzetí</w:t>
      </w:r>
    </w:p>
    <w:p>
      <w:pPr>
        <w:pStyle w:val="Style2"/>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794" w:left="1392" w:right="1386" w:bottom="1295" w:header="366"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č. 2 – Nabídka zhotovitele – Soupis prací (CN.č.2025037, CN.č.2025036, CN.č.2025035)</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75" w:left="0" w:right="0" w:bottom="1143" w:header="0" w:footer="3" w:gutter="0"/>
          <w:cols w:space="720"/>
          <w:noEndnote/>
          <w:rtlGutter w:val="0"/>
          <w:docGrid w:linePitch="360"/>
        </w:sectPr>
      </w:pPr>
    </w:p>
    <w:p>
      <w:pPr>
        <w:pStyle w:val="Style2"/>
        <w:keepNext w:val="0"/>
        <w:keepLines w:val="0"/>
        <w:framePr w:w="3077" w:h="379" w:wrap="none" w:vAnchor="text" w:hAnchor="page" w:x="1400" w:y="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 ……………</w:t>
      </w:r>
    </w:p>
    <w:p>
      <w:pPr>
        <w:pStyle w:val="Style2"/>
        <w:keepNext w:val="0"/>
        <w:keepLines w:val="0"/>
        <w:framePr w:w="3754" w:h="379" w:wrap="none" w:vAnchor="text" w:hAnchor="page" w:x="6440" w:y="21"/>
        <w:widowControl w:val="0"/>
        <w:shd w:val="clear" w:color="auto" w:fill="auto"/>
        <w:tabs>
          <w:tab w:pos="185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w:t>
      </w:r>
      <w:r>
        <w:rPr>
          <w:u w:val="single"/>
        </w:rPr>
        <w:t xml:space="preserve"> </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dne……………….</w:t>
      </w:r>
    </w:p>
    <w:p>
      <w:pPr>
        <w:widowControl w:val="0"/>
        <w:spacing w:after="378" w:line="1" w:lineRule="exact"/>
      </w:pPr>
    </w:p>
    <w:p>
      <w:pPr>
        <w:widowControl w:val="0"/>
        <w:spacing w:line="1" w:lineRule="exact"/>
        <w:sectPr>
          <w:footnotePr>
            <w:pos w:val="pageBottom"/>
            <w:numFmt w:val="decimal"/>
            <w:numRestart w:val="continuous"/>
          </w:footnotePr>
          <w:type w:val="continuous"/>
          <w:pgSz w:w="11909" w:h="16838"/>
          <w:pgMar w:top="1075" w:left="1394" w:right="1399" w:bottom="1143"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5" w:after="4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75" w:left="0" w:right="0" w:bottom="1243"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zástupce objednatele</w:t>
        <w:br/>
        <w:t>ekonomický ředitel</w:t>
      </w:r>
    </w:p>
    <w:p>
      <w:pPr>
        <w:pStyle w:val="Style2"/>
        <w:keepNext w:val="0"/>
        <w:keepLines w:val="0"/>
        <w:widowControl w:val="0"/>
        <w:shd w:val="clear" w:color="auto" w:fill="auto"/>
        <w:bidi w:val="0"/>
        <w:spacing w:before="0" w:after="0" w:line="240" w:lineRule="auto"/>
        <w:ind w:left="800" w:right="0" w:hanging="800"/>
        <w:jc w:val="left"/>
        <w:sectPr>
          <w:footnotePr>
            <w:pos w:val="pageBottom"/>
            <w:numFmt w:val="decimal"/>
            <w:numRestart w:val="continuous"/>
          </w:footnotePr>
          <w:type w:val="continuous"/>
          <w:pgSz w:w="11909" w:h="16838"/>
          <w:pgMar w:top="1075" w:left="1394" w:right="2157" w:bottom="1243" w:header="0" w:footer="3" w:gutter="0"/>
          <w:cols w:num="2" w:space="2149"/>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zástupce zhotovitele jednatel</w:t>
      </w:r>
    </w:p>
    <w:sectPr>
      <w:footnotePr>
        <w:pos w:val="pageBottom"/>
        <w:numFmt w:val="decimal"/>
        <w:numRestart w:val="continuous"/>
      </w:footnotePr>
      <w:type w:val="continuous"/>
      <w:pgSz w:w="11909" w:h="16838"/>
      <w:pgMar w:top="1075" w:left="1394" w:right="2157" w:bottom="1243" w:header="0" w:footer="3" w:gutter="0"/>
      <w:cols w:num="2" w:space="2149"/>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5862955</wp:posOffset>
              </wp:positionH>
              <wp:positionV relativeFrom="page">
                <wp:posOffset>9933305</wp:posOffset>
              </wp:positionV>
              <wp:extent cx="801370" cy="210185"/>
              <wp:wrapNone/>
              <wp:docPr id="1" name="Shape 1"/>
              <a:graphic xmlns:a="http://schemas.openxmlformats.org/drawingml/2006/main">
                <a:graphicData uri="http://schemas.microsoft.com/office/word/2010/wordprocessingShape">
                  <wps:wsp>
                    <wps:cNvSpPr txBox="1"/>
                    <wps:spPr>
                      <a:xfrm>
                        <a:ext cx="80137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1.65000000000003pt;margin-top:782.14999999999998pt;width:63.100000000000001pt;height:16.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4">
    <w:name w:val="Char Style 14"/>
    <w:basedOn w:val="DefaultParagraphFont"/>
    <w:link w:val="Style13"/>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220"/>
    </w:pPr>
    <w:rPr>
      <w:b w:val="0"/>
      <w:bCs w:val="0"/>
      <w:i w:val="0"/>
      <w:iCs w:val="0"/>
      <w:smallCaps w:val="0"/>
      <w:strike w:val="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20"/>
      <w:jc w:val="center"/>
      <w:outlineLvl w:val="0"/>
    </w:pPr>
    <w:rPr>
      <w:b/>
      <w:bCs/>
      <w:i w:val="0"/>
      <w:iCs w:val="0"/>
      <w:smallCaps w:val="0"/>
      <w:strike w:val="0"/>
      <w:u w:val="none"/>
    </w:rPr>
  </w:style>
  <w:style w:type="paragraph" w:customStyle="1" w:styleId="Style11">
    <w:name w:val="Style 11"/>
    <w:basedOn w:val="Normal"/>
    <w:link w:val="CharStyle12"/>
    <w:pPr>
      <w:widowControl w:val="0"/>
      <w:shd w:val="clear" w:color="auto" w:fill="FFFFFF"/>
      <w:spacing w:after="420"/>
      <w:jc w:val="center"/>
    </w:pPr>
    <w:rPr>
      <w:rFonts w:ascii="Arial" w:eastAsia="Arial" w:hAnsi="Arial" w:cs="Arial"/>
      <w:b w:val="0"/>
      <w:bCs w:val="0"/>
      <w:i w:val="0"/>
      <w:iCs w:val="0"/>
      <w:smallCaps w:val="0"/>
      <w:strike w:val="0"/>
      <w:sz w:val="18"/>
      <w:szCs w:val="18"/>
      <w:u w:val="none"/>
    </w:rPr>
  </w:style>
  <w:style w:type="paragraph" w:customStyle="1" w:styleId="Style13">
    <w:name w:val="Style 13"/>
    <w:basedOn w:val="Normal"/>
    <w:link w:val="CharStyle14"/>
    <w:pPr>
      <w:widowControl w:val="0"/>
      <w:shd w:val="clear" w:color="auto" w:fill="FFFFFF"/>
      <w:spacing w:after="22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