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706/2024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07-2024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„VT Teplá – oprava dna u Thermalu“ – projektová dokumentace (DSP/DPS)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84" w:bottom="1694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905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190500</wp:posOffset>
                </wp:positionV>
                <wp:extent cx="2441575" cy="18351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835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Tato smlouva byla uzavřena mezi: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 zástupce ve věcech smluvních: oprávněn jednat o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15.pt;width:192.25pt;height:144.5pt;z-index:-125829375;mso-wrap-distance-left:0;mso-wrap-distance-top:1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Tato smlouva byla uzavřena mezi: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 zástupce ve věcech smluvních: oprávněn jednat o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0540" distB="805180" distL="0" distR="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510540</wp:posOffset>
                </wp:positionV>
                <wp:extent cx="2225040" cy="7099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2.10000000000002pt;margin-top:40.200000000000003pt;width:175.20000000000002pt;height:55.899999999999999pt;z-index:-125829373;mso-wrap-distance-left:0;mso-wrap-distance-top:40.200000000000003pt;mso-wrap-distance-right:0;mso-wrap-distance-bottom:63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16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15900" distB="0" distL="0" distR="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215900</wp:posOffset>
                </wp:positionV>
                <wp:extent cx="2069465" cy="24079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9465" cy="2407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doručovací adresa: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 zástupce ve věcech smluvních: zástupce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bankovní spojení: číslo účtu: zápis v obchodním rejstříku: (dále jen 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700000000000003pt;margin-top:17.pt;width:162.95000000000002pt;height:189.59999999999999pt;z-index:-125829371;mso-wrap-distance-left:0;mso-wrap-distance-top:1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doručovací adresa: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 zástupce ve věcech smluvních: zástupce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bankovní spojení: číslo účtu: zápis v obchodním rejstříku: (dále jen „zhotovitel“)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5900" distB="2014855" distL="0" distR="0" simplePos="0" relativeHeight="125829384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215900</wp:posOffset>
                </wp:positionV>
                <wp:extent cx="1758950" cy="3930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8950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de-DE" w:eastAsia="de-DE" w:bidi="de-DE"/>
                              </w:rPr>
                              <w:t xml:space="preserve">MÜRABELL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s. r. 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Hořejší 116, 267 03 Hudlice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2.10000000000002pt;margin-top:17.pt;width:138.5pt;height:30.949999999999999pt;z-index:-125829369;mso-wrap-distance-left:0;mso-wrap-distance-top:17.pt;mso-wrap-distance-right:0;mso-wrap-distance-bottom:158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de-DE" w:eastAsia="de-DE" w:bidi="de-DE"/>
                        </w:rPr>
                        <w:t xml:space="preserve">MÜRABELL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 r. 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Hořejší 116, 267 03 Hudlice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32890" distB="701040" distL="0" distR="0" simplePos="0" relativeHeight="125829386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1532890</wp:posOffset>
                </wp:positionV>
                <wp:extent cx="841375" cy="3898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28387767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CZ28387767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2.10000000000002pt;margin-top:120.7pt;width:66.25pt;height:30.699999999999999pt;z-index:-125829367;mso-wrap-distance-left:0;mso-wrap-distance-top:120.7pt;mso-wrap-distance-right:0;mso-wrap-distance-bottom:55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28387767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CZ28387767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05990" distB="189230" distL="0" distR="0" simplePos="0" relativeHeight="125829388" behindDoc="0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2205990</wp:posOffset>
                </wp:positionV>
                <wp:extent cx="2901950" cy="2286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19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C, vložka 137995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0.90000000000003pt;margin-top:173.70000000000002pt;width:228.5pt;height:18.pt;z-index:-125829365;mso-wrap-distance-left:0;mso-wrap-distance-top:173.70000000000002pt;mso-wrap-distance-right:0;mso-wrap-distance-bottom:14.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C, vložka 137995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4" w:right="1384" w:bottom="169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59" w:lineRule="auto"/>
        <w:ind w:left="0" w:right="0" w:firstLine="6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k SoD 706/2024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probíhajících jednání s Magistrátem města Karlovy Vary a Hotelem Thermal za účelem koordinace investičních záměrů těchto subjektů (rekonstrukce Lázeňského mostu, revitalizace Dvořákových sadů a rekonstrukce prostranství před hotelem včetně příjezdové rampy) v lokalitě plánované opravy dna VT Teplá. Koordinace se týká nejenom technického řešení, ale také součinnosti při realizaci jednotlivých záměrů.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II. Dílo a způsob provedení díla a Čl. III. Termín plnění.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II. DÍLO A ZPŮSOB PROVEDENÍ DÍLA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Kompletní projektová dokumentace bude předána celkem v počtu 6x paré tištěné + elektronicky, a to 1x ve formátu (_.pdf), a 1x v editovatelných formátech pro potřeby objednatele (_.doc, _.docx, _.xls, _.xlsx, _.dwg a dalších), výkresy budou v souřadnicovém systému S-JTSK.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dokumentace bude tvořena souborem elektronických výkresů a dokumentů, které budou strukturované dle vyhlášky 190/2024 Sb. o podrobnostech provozu informačních systémů stavební správy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Elektronická verze dokumentace určená pro podání přes informační systém stavební správy bude opatřena kvalifikovaným časovým razítkem a elektronickým autorizačním podpisem v příslušném oboru či specializaci.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termín–předání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79" w:val="left"/>
        </w:tabs>
        <w:bidi w:val="0"/>
        <w:spacing w:before="0" w:after="1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  <w:t>nejpozději do 30.04.2025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4" w:bottom="125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mc:AlternateContent>
          <mc:Choice Requires="wps">
            <w:drawing>
              <wp:anchor distT="0" distB="0" distL="50800" distR="50800" simplePos="0" relativeHeight="12582939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317500</wp:posOffset>
                </wp:positionV>
                <wp:extent cx="161290" cy="228600"/>
                <wp:wrapSquare wrapText="bothSides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9.700000000000003pt;margin-top:25.pt;width:12.700000000000001pt;height:18.pt;z-index:-125829363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nabytí účinnosti smlouvy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2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termín–předání kompletní PD (2 x tištěné + elektronicky) po projednání 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nejpozději do 30.09.2025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380" w:right="0" w:hanging="3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380" w:right="0" w:hanging="38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027" w:left="1394" w:right="1389" w:bottom="5904" w:header="0" w:footer="3" w:gutter="0"/>
          <w:cols w:space="720"/>
          <w:noEndnote/>
          <w:rtlGutter w:val="0"/>
          <w:docGrid w:linePitch="360"/>
        </w:sectPr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widowControl w:val="0"/>
        <w:spacing w:line="187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0" w:right="0" w:bottom="590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1533" w:right="2421" w:bottom="5904" w:header="0" w:footer="3" w:gutter="0"/>
          <w:cols w:num="2" w:space="157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……………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1533" w:right="2363" w:bottom="1421" w:header="0" w:footer="3" w:gutter="0"/>
          <w:cols w:num="2" w:space="161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MÜRABELL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27" w:left="1533" w:right="2363" w:bottom="1421" w:header="0" w:footer="3" w:gutter="0"/>
      <w:cols w:num="2" w:space="161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435610</wp:posOffset>
              </wp:positionV>
              <wp:extent cx="1825625" cy="1892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25625" cy="1892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Dodatek č. 1 k SoD 706/2024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1.pt;margin-top:34.300000000000004pt;width:143.75pt;height:14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Dodatek č. 1 k SoD 706/2024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