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0DB00" w14:textId="77777777" w:rsidR="001806EC" w:rsidRDefault="001806EC" w:rsidP="001806EC">
      <w:pPr>
        <w:rPr>
          <w:rFonts w:cs="Arial"/>
          <w:b/>
          <w:szCs w:val="22"/>
        </w:rPr>
      </w:pPr>
    </w:p>
    <w:p w14:paraId="6F7E4445" w14:textId="77777777" w:rsidR="002676A2" w:rsidRDefault="002676A2" w:rsidP="001806EC">
      <w:pPr>
        <w:rPr>
          <w:rFonts w:cs="Arial"/>
          <w:b/>
          <w:szCs w:val="22"/>
        </w:rPr>
      </w:pPr>
    </w:p>
    <w:p w14:paraId="24B82F15" w14:textId="77777777" w:rsidR="00A05261" w:rsidRDefault="00A05261" w:rsidP="00A05261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48F2FF96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2D43F7DB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238868A6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432364D9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3FE0A9AE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</w:t>
      </w:r>
    </w:p>
    <w:p w14:paraId="28DA51AD" w14:textId="77777777" w:rsidR="00A05261" w:rsidRPr="00A55F53" w:rsidRDefault="00A05261" w:rsidP="00A05261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5A7C2F0A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692580A0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5EC46CD7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30905178" w14:textId="77777777" w:rsidR="00A05261" w:rsidRPr="003733B1" w:rsidRDefault="00A05261" w:rsidP="00A05261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1F9C4280" w14:textId="14705C31" w:rsidR="002676A2" w:rsidRPr="003733B1" w:rsidRDefault="002676A2" w:rsidP="001806EC">
      <w:pPr>
        <w:rPr>
          <w:rFonts w:cs="Arial"/>
          <w:szCs w:val="22"/>
        </w:rPr>
      </w:pPr>
    </w:p>
    <w:p w14:paraId="1E576ED4" w14:textId="12C066F4" w:rsidR="001806EC" w:rsidRPr="00A0526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1B438CD7" w14:textId="77777777" w:rsidR="002676A2" w:rsidRDefault="002676A2" w:rsidP="001806EC">
      <w:pPr>
        <w:rPr>
          <w:b/>
          <w:szCs w:val="22"/>
        </w:rPr>
      </w:pPr>
    </w:p>
    <w:p w14:paraId="097ED512" w14:textId="55B4DA7B" w:rsidR="001806EC" w:rsidRDefault="00B77311" w:rsidP="001806EC">
      <w:pPr>
        <w:rPr>
          <w:b/>
          <w:szCs w:val="22"/>
        </w:rPr>
      </w:pPr>
      <w:r>
        <w:rPr>
          <w:b/>
          <w:szCs w:val="22"/>
        </w:rPr>
        <w:t>Martin tour, s.r.o.</w:t>
      </w:r>
    </w:p>
    <w:p w14:paraId="61C0D985" w14:textId="04221B44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</w:t>
      </w:r>
      <w:r w:rsidR="00B77311">
        <w:rPr>
          <w:szCs w:val="22"/>
        </w:rPr>
        <w:t>Hoškova 1092/2,  158 00 Praha 5</w:t>
      </w:r>
    </w:p>
    <w:p w14:paraId="3E65B62F" w14:textId="6CE358B7" w:rsidR="001806EC" w:rsidRDefault="001806EC" w:rsidP="001806EC">
      <w:pPr>
        <w:rPr>
          <w:szCs w:val="22"/>
        </w:rPr>
      </w:pPr>
      <w:r>
        <w:rPr>
          <w:szCs w:val="22"/>
        </w:rPr>
        <w:t>IČ</w:t>
      </w:r>
      <w:r w:rsidR="00B77311">
        <w:rPr>
          <w:szCs w:val="22"/>
        </w:rPr>
        <w:t>O</w:t>
      </w:r>
      <w:r>
        <w:rPr>
          <w:szCs w:val="22"/>
        </w:rPr>
        <w:t xml:space="preserve">: </w:t>
      </w:r>
      <w:r w:rsidR="00B77311">
        <w:rPr>
          <w:szCs w:val="22"/>
        </w:rPr>
        <w:t>48586081</w:t>
      </w:r>
    </w:p>
    <w:p w14:paraId="5F0AEE02" w14:textId="06EE8CDB" w:rsidR="001806EC" w:rsidRDefault="001806EC" w:rsidP="001806EC">
      <w:pPr>
        <w:rPr>
          <w:szCs w:val="22"/>
        </w:rPr>
      </w:pPr>
      <w:r>
        <w:rPr>
          <w:szCs w:val="22"/>
        </w:rPr>
        <w:t xml:space="preserve">Zastoupený: </w:t>
      </w:r>
      <w:r w:rsidR="00125E2A">
        <w:rPr>
          <w:szCs w:val="22"/>
        </w:rPr>
        <w:t>XXXXXXXXXXXXX</w:t>
      </w:r>
    </w:p>
    <w:p w14:paraId="0CB2D21D" w14:textId="69E39AA4" w:rsidR="00AF3235" w:rsidRDefault="00AF3235" w:rsidP="001806EC">
      <w:pPr>
        <w:rPr>
          <w:szCs w:val="22"/>
        </w:rPr>
      </w:pPr>
      <w:r>
        <w:rPr>
          <w:szCs w:val="22"/>
        </w:rPr>
        <w:t xml:space="preserve">Kontaktní osoba: </w:t>
      </w:r>
      <w:r w:rsidR="00125E2A">
        <w:rPr>
          <w:szCs w:val="22"/>
        </w:rPr>
        <w:t>XXXXXXXXXXXXXXX</w:t>
      </w:r>
    </w:p>
    <w:p w14:paraId="37D379D5" w14:textId="3440B1AC" w:rsidR="00AF3235" w:rsidRPr="004A0424" w:rsidRDefault="00AF3235" w:rsidP="001806EC">
      <w:pPr>
        <w:rPr>
          <w:szCs w:val="22"/>
        </w:rPr>
      </w:pPr>
      <w:r>
        <w:rPr>
          <w:szCs w:val="22"/>
        </w:rPr>
        <w:t>Email:</w:t>
      </w:r>
      <w:r w:rsidR="00E35D03">
        <w:rPr>
          <w:szCs w:val="22"/>
        </w:rPr>
        <w:t xml:space="preserve"> </w:t>
      </w:r>
      <w:r w:rsidR="00125E2A">
        <w:rPr>
          <w:szCs w:val="22"/>
        </w:rPr>
        <w:t>XXXXXXXXXXXXXXX</w:t>
      </w:r>
    </w:p>
    <w:p w14:paraId="4159A0C3" w14:textId="77777777" w:rsidR="001806EC" w:rsidRPr="003733B1" w:rsidRDefault="001806EC" w:rsidP="001806EC">
      <w:pPr>
        <w:rPr>
          <w:rFonts w:cs="Arial"/>
          <w:szCs w:val="22"/>
        </w:rPr>
      </w:pPr>
    </w:p>
    <w:p w14:paraId="2679311B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125DB19A" w14:textId="77777777" w:rsidR="001806EC" w:rsidRPr="003733B1" w:rsidRDefault="001806EC" w:rsidP="001806EC">
      <w:pPr>
        <w:rPr>
          <w:rFonts w:cs="Arial"/>
          <w:szCs w:val="22"/>
        </w:rPr>
      </w:pPr>
    </w:p>
    <w:p w14:paraId="6E4A94BD" w14:textId="0A220A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</w:t>
      </w:r>
      <w:proofErr w:type="spellStart"/>
      <w:r w:rsidRPr="006E75F0">
        <w:rPr>
          <w:rFonts w:cs="Arial"/>
          <w:szCs w:val="22"/>
        </w:rPr>
        <w:t>ust</w:t>
      </w:r>
      <w:proofErr w:type="spellEnd"/>
      <w:r w:rsidRPr="006E75F0">
        <w:rPr>
          <w:rFonts w:cs="Arial"/>
          <w:szCs w:val="22"/>
        </w:rPr>
        <w:t xml:space="preserve">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  <w:r w:rsidR="00B212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tuto </w:t>
      </w:r>
    </w:p>
    <w:p w14:paraId="2CA82B35" w14:textId="7A3A6585" w:rsidR="002676A2" w:rsidRDefault="002676A2" w:rsidP="001806EC">
      <w:pPr>
        <w:jc w:val="both"/>
        <w:rPr>
          <w:rFonts w:cs="Arial"/>
          <w:szCs w:val="22"/>
        </w:rPr>
      </w:pPr>
    </w:p>
    <w:p w14:paraId="4A8E57BC" w14:textId="77777777" w:rsidR="004E4958" w:rsidRDefault="004E4958" w:rsidP="001806EC">
      <w:pPr>
        <w:jc w:val="both"/>
        <w:rPr>
          <w:rFonts w:cs="Arial"/>
          <w:szCs w:val="22"/>
        </w:rPr>
      </w:pPr>
    </w:p>
    <w:p w14:paraId="51C8AC13" w14:textId="69EF922B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 xml:space="preserve">Smlouvu o umožnění vstupu na základě předložených </w:t>
      </w:r>
      <w:r w:rsidR="00082D2F">
        <w:rPr>
          <w:rFonts w:cs="Arial"/>
          <w:b/>
          <w:bCs/>
          <w:szCs w:val="22"/>
        </w:rPr>
        <w:t>rezervací</w:t>
      </w:r>
    </w:p>
    <w:p w14:paraId="1A7E3A82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025A76E4" w14:textId="2D559914" w:rsidR="002676A2" w:rsidRDefault="002676A2" w:rsidP="00A05261">
      <w:pPr>
        <w:rPr>
          <w:rStyle w:val="Siln"/>
          <w:sz w:val="22"/>
          <w:szCs w:val="22"/>
        </w:rPr>
      </w:pPr>
    </w:p>
    <w:p w14:paraId="638FC54B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1D90BE7E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54E8B5FF" w14:textId="572DA66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</w:t>
      </w:r>
      <w:r w:rsidR="009E7A10">
        <w:rPr>
          <w:lang w:val="cs-CZ"/>
        </w:rPr>
        <w:t xml:space="preserve"> hradem a</w:t>
      </w:r>
      <w:r>
        <w:rPr>
          <w:lang w:val="cs-CZ"/>
        </w:rPr>
        <w:t xml:space="preserve"> zámkem </w:t>
      </w:r>
      <w:r w:rsidR="009E7A10">
        <w:rPr>
          <w:lang w:val="cs-CZ"/>
        </w:rPr>
        <w:t>Český Krumlov</w:t>
      </w:r>
      <w:r>
        <w:rPr>
          <w:lang w:val="cs-CZ"/>
        </w:rPr>
        <w:t xml:space="preserve">, kde seznamuje návštěvníky na jednotlivých prohlídkových </w:t>
      </w:r>
      <w:r w:rsidR="009E7A10">
        <w:rPr>
          <w:lang w:val="cs-CZ"/>
        </w:rPr>
        <w:t>trasách</w:t>
      </w:r>
      <w:r>
        <w:rPr>
          <w:lang w:val="cs-CZ"/>
        </w:rPr>
        <w:t xml:space="preserve"> s interiéry </w:t>
      </w:r>
      <w:r w:rsidR="009E7A10">
        <w:rPr>
          <w:lang w:val="cs-CZ"/>
        </w:rPr>
        <w:t xml:space="preserve">hradu a </w:t>
      </w:r>
      <w:r>
        <w:rPr>
          <w:lang w:val="cs-CZ"/>
        </w:rPr>
        <w:t>zámku a jeho historií.</w:t>
      </w:r>
    </w:p>
    <w:p w14:paraId="7E9AE9C0" w14:textId="27646082" w:rsidR="001806EC" w:rsidRPr="006E75F0" w:rsidRDefault="001806EC" w:rsidP="001806EC">
      <w:pPr>
        <w:pStyle w:val="odstavce"/>
      </w:pPr>
      <w:r>
        <w:rPr>
          <w:lang w:val="cs-CZ"/>
        </w:rPr>
        <w:t xml:space="preserve">Partnerem je cestovní kancelář, která v rámci prodeje zájezdu nabízí i další doplňkové služby, spočívající mimo jiné i v možnosti navštívit některou z návštěvnických tras státního </w:t>
      </w:r>
      <w:r w:rsidR="009E7A10">
        <w:rPr>
          <w:lang w:val="cs-CZ"/>
        </w:rPr>
        <w:t xml:space="preserve">hradu a </w:t>
      </w:r>
      <w:r>
        <w:rPr>
          <w:lang w:val="cs-CZ"/>
        </w:rPr>
        <w:t xml:space="preserve">zámku </w:t>
      </w:r>
      <w:r w:rsidR="009E7A10">
        <w:rPr>
          <w:lang w:val="cs-CZ"/>
        </w:rPr>
        <w:t>Český Krumlov</w:t>
      </w:r>
      <w:r>
        <w:rPr>
          <w:lang w:val="cs-CZ"/>
        </w:rPr>
        <w:t>.</w:t>
      </w:r>
    </w:p>
    <w:p w14:paraId="4F03E46C" w14:textId="6C074739" w:rsidR="004E4958" w:rsidRPr="006E75F0" w:rsidRDefault="001806EC" w:rsidP="00A05261">
      <w:pPr>
        <w:pStyle w:val="odstavce"/>
      </w:pPr>
      <w:r>
        <w:rPr>
          <w:lang w:val="cs-CZ"/>
        </w:rPr>
        <w:t>Smluvní strany uzavírají tuto smlouvu za účelem stanovení podmínek, za kterých umožní NPÚ klientům partnera na jeho náklady vstup na prohlídku.</w:t>
      </w:r>
    </w:p>
    <w:p w14:paraId="635ED0A2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4776C90B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330B7DF1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134DC8F6" w14:textId="73AC12BD" w:rsidR="001806EC" w:rsidRPr="006E75F0" w:rsidRDefault="009E7A10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 Pro své klienty</w:t>
      </w:r>
      <w:r w:rsidR="001806EC">
        <w:rPr>
          <w:szCs w:val="22"/>
          <w:lang w:eastAsia="x-none"/>
        </w:rPr>
        <w:t xml:space="preserve"> rezervovat konkrétní prohlídkový okruh v konkrétním dni a čase. </w:t>
      </w:r>
    </w:p>
    <w:p w14:paraId="2A233121" w14:textId="26ED2B8A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>Partner v případě prohlídky kontaktuje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telefonicky nebo prostřednictvím </w:t>
      </w:r>
      <w:r w:rsidR="009E7A10">
        <w:rPr>
          <w:szCs w:val="22"/>
          <w:lang w:eastAsia="x-none"/>
        </w:rPr>
        <w:t>emailu</w:t>
      </w:r>
      <w:r>
        <w:rPr>
          <w:szCs w:val="22"/>
          <w:lang w:eastAsia="x-none"/>
        </w:rPr>
        <w:t xml:space="preserve"> a provede rezervaci míst na vybrané prohlídce. Podmínkou je, aby kontaktoval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v dostatečném předstihu.</w:t>
      </w:r>
    </w:p>
    <w:p w14:paraId="23207577" w14:textId="57CE4424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 w:rsidR="00AF3235">
        <w:rPr>
          <w:szCs w:val="22"/>
          <w:lang w:eastAsia="x-none"/>
        </w:rPr>
        <w:t xml:space="preserve">vedoucímu od skupiny nebo průvodci skupiny </w:t>
      </w:r>
      <w:r>
        <w:rPr>
          <w:szCs w:val="22"/>
          <w:lang w:eastAsia="x-none"/>
        </w:rPr>
        <w:t xml:space="preserve">vstupenku oproti voucheru na vybraný návštěvnický okruh. </w:t>
      </w:r>
    </w:p>
    <w:p w14:paraId="3655BB9D" w14:textId="77777777" w:rsidR="008F0945" w:rsidRPr="00360BB5" w:rsidRDefault="008F0945" w:rsidP="008F0945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NPÚ, Správa hradu a zámku Český Krumlov pošle e-mailem vyúčtování všech uskutečněných  prohlídek za období jednoho kalendářního měsíce prostřednictvím daňového dokladu – faktury se 14 denní lhůtou splatnosti ode dne vystavení. </w:t>
      </w:r>
    </w:p>
    <w:p w14:paraId="2F470BBB" w14:textId="35546151" w:rsidR="001806EC" w:rsidRPr="00082D2F" w:rsidRDefault="00082D2F" w:rsidP="00082D2F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je povinen dodržet lhůtu splatnosti. Pokud nebude faktura zaplacena k datu splatnosti, vyhrazuje si NPÚ ukončit možnost platby na fakturu do té doby než bude dlužná částka uhrazena na daný bankovní účet NPÚ. NPÚ je oprávněn v případě nezaplacení faktury od této smlouvy odstoupit. Odstoupení je platné dnem doručení druhé smluvní straně.</w:t>
      </w:r>
    </w:p>
    <w:p w14:paraId="5399D2EF" w14:textId="740B957D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</w:t>
      </w:r>
      <w:r w:rsidR="008F0945">
        <w:rPr>
          <w:szCs w:val="22"/>
          <w:lang w:eastAsia="x-none"/>
        </w:rPr>
        <w:t xml:space="preserve"> v roce 2025</w:t>
      </w:r>
      <w:r>
        <w:rPr>
          <w:szCs w:val="22"/>
          <w:lang w:eastAsia="x-none"/>
        </w:rPr>
        <w:t>.</w:t>
      </w:r>
    </w:p>
    <w:p w14:paraId="56545CDC" w14:textId="3C687E2D" w:rsidR="008F0945" w:rsidRPr="00082D2F" w:rsidRDefault="001806EC" w:rsidP="00082D2F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76A1D3CB" w14:textId="6C2158B1" w:rsidR="004E4958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II.</w:t>
      </w:r>
    </w:p>
    <w:p w14:paraId="39471AE4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53178CF2" w14:textId="314B7F5F" w:rsidR="004E4958" w:rsidRDefault="001806EC" w:rsidP="00082D2F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</w:t>
      </w:r>
      <w:r w:rsidR="009473AA">
        <w:t xml:space="preserve"> </w:t>
      </w:r>
      <w:r>
        <w:t>12.</w:t>
      </w:r>
      <w:r w:rsidR="009473AA">
        <w:t xml:space="preserve"> </w:t>
      </w:r>
      <w:r>
        <w:t>202</w:t>
      </w:r>
      <w:r w:rsidR="008F0945">
        <w:t>5</w:t>
      </w:r>
      <w:r>
        <w:t>.</w:t>
      </w:r>
    </w:p>
    <w:p w14:paraId="2B357F6C" w14:textId="6E44487F" w:rsidR="001806EC" w:rsidRPr="006726DF" w:rsidRDefault="001806EC" w:rsidP="00A05261">
      <w:pPr>
        <w:jc w:val="both"/>
      </w:pPr>
    </w:p>
    <w:p w14:paraId="3E662541" w14:textId="77777777" w:rsidR="001806EC" w:rsidRPr="00BA69A2" w:rsidRDefault="001806EC" w:rsidP="001806E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Článek </w:t>
      </w:r>
      <w:r w:rsidR="008F426D">
        <w:rPr>
          <w:b/>
          <w:bCs/>
        </w:rPr>
        <w:t>I</w:t>
      </w:r>
      <w:r>
        <w:rPr>
          <w:b/>
          <w:bCs/>
        </w:rPr>
        <w:t>V.</w:t>
      </w:r>
    </w:p>
    <w:p w14:paraId="6FB01257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50BC8ABE" w14:textId="7A1F03C2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 xml:space="preserve">Tato smlouva byla sepsána ve </w:t>
      </w:r>
      <w:r w:rsidR="00A05261">
        <w:rPr>
          <w:szCs w:val="22"/>
        </w:rPr>
        <w:t>2</w:t>
      </w:r>
      <w:r w:rsidRPr="000C7578">
        <w:rPr>
          <w:szCs w:val="22"/>
        </w:rPr>
        <w:t xml:space="preserve"> vyhotoveních. Každá ze smluvních stran obdržela po jednom totožném vyhotovení.</w:t>
      </w:r>
    </w:p>
    <w:p w14:paraId="6C236DA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26332060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126DC20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17B9D832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FA7B27B" w14:textId="28CC1C40" w:rsidR="001806EC" w:rsidRPr="00082D2F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8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3964875C" w14:textId="77777777" w:rsidR="00082D2F" w:rsidRPr="003733B1" w:rsidRDefault="00082D2F" w:rsidP="00082D2F">
      <w:pPr>
        <w:pStyle w:val="Zkladntext"/>
        <w:rPr>
          <w:rFonts w:ascii="Calibri" w:hAnsi="Calibri"/>
          <w:szCs w:val="22"/>
        </w:rPr>
      </w:pPr>
    </w:p>
    <w:p w14:paraId="3E18BBB1" w14:textId="33C06F66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57DBC0E2" w14:textId="77777777" w:rsidTr="000F03E7">
        <w:trPr>
          <w:trHeight w:val="1140"/>
          <w:jc w:val="center"/>
        </w:trPr>
        <w:tc>
          <w:tcPr>
            <w:tcW w:w="4606" w:type="dxa"/>
          </w:tcPr>
          <w:p w14:paraId="55E54027" w14:textId="4BBD40C5" w:rsidR="001806EC" w:rsidRPr="003733B1" w:rsidRDefault="001806EC" w:rsidP="00AF3235">
            <w:pPr>
              <w:rPr>
                <w:szCs w:val="22"/>
              </w:rPr>
            </w:pPr>
            <w:r w:rsidRPr="003733B1">
              <w:rPr>
                <w:szCs w:val="22"/>
              </w:rPr>
              <w:t>V</w:t>
            </w:r>
            <w:r w:rsidR="00A05261">
              <w:rPr>
                <w:szCs w:val="22"/>
              </w:rPr>
              <w:t> Českých Budějovicích</w:t>
            </w:r>
            <w:r w:rsidRPr="003733B1">
              <w:rPr>
                <w:szCs w:val="22"/>
              </w:rPr>
              <w:t xml:space="preserve"> </w:t>
            </w:r>
            <w:r w:rsidR="00A05261">
              <w:rPr>
                <w:szCs w:val="22"/>
              </w:rPr>
              <w:t>dne</w:t>
            </w:r>
            <w:r w:rsidR="009C430B">
              <w:rPr>
                <w:szCs w:val="22"/>
              </w:rPr>
              <w:t xml:space="preserve"> 10. 4. 2025</w:t>
            </w:r>
          </w:p>
          <w:p w14:paraId="56DB039D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32FC4FF9" w14:textId="77777777" w:rsidR="008F0945" w:rsidRDefault="008F0945" w:rsidP="00A05261">
            <w:pPr>
              <w:rPr>
                <w:szCs w:val="22"/>
              </w:rPr>
            </w:pPr>
          </w:p>
          <w:p w14:paraId="2C39254A" w14:textId="2D8D4332" w:rsidR="001806EC" w:rsidRPr="003733B1" w:rsidRDefault="00A05261" w:rsidP="00A0526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1806EC" w:rsidRPr="003733B1">
              <w:rPr>
                <w:szCs w:val="22"/>
              </w:rPr>
              <w:t>…………………………………………..</w:t>
            </w:r>
          </w:p>
          <w:p w14:paraId="59A94DC0" w14:textId="69EC87BA" w:rsidR="009C430B" w:rsidRDefault="009C430B" w:rsidP="008F0945">
            <w:pPr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v.z</w:t>
            </w:r>
            <w:proofErr w:type="spellEnd"/>
            <w:r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Ing. Josef Masaryk</w:t>
            </w:r>
          </w:p>
          <w:p w14:paraId="00D025EF" w14:textId="77777777" w:rsidR="009C430B" w:rsidRDefault="009C430B" w:rsidP="008F0945">
            <w:pPr>
              <w:rPr>
                <w:szCs w:val="22"/>
              </w:rPr>
            </w:pPr>
          </w:p>
          <w:p w14:paraId="2758640C" w14:textId="4F18ADCB" w:rsidR="001806EC" w:rsidRPr="003733B1" w:rsidRDefault="00A05261" w:rsidP="008F0945">
            <w:pPr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0502EF60" w14:textId="0A736674" w:rsidR="001806EC" w:rsidRPr="003733B1" w:rsidRDefault="00AF3235" w:rsidP="00AF3235">
            <w:pPr>
              <w:rPr>
                <w:szCs w:val="22"/>
              </w:rPr>
            </w:pPr>
            <w:r>
              <w:rPr>
                <w:szCs w:val="22"/>
              </w:rPr>
              <w:t xml:space="preserve">          </w:t>
            </w:r>
            <w:r w:rsidR="001806EC">
              <w:rPr>
                <w:szCs w:val="22"/>
              </w:rPr>
              <w:t>V</w:t>
            </w:r>
            <w:r>
              <w:rPr>
                <w:szCs w:val="22"/>
              </w:rPr>
              <w:t xml:space="preserve"> </w:t>
            </w:r>
            <w:r w:rsidR="009C430B">
              <w:rPr>
                <w:szCs w:val="22"/>
              </w:rPr>
              <w:t>Praze</w:t>
            </w:r>
            <w:r w:rsidR="001806EC">
              <w:rPr>
                <w:szCs w:val="22"/>
              </w:rPr>
              <w:t xml:space="preserve">, </w:t>
            </w:r>
            <w:r w:rsidR="001806EC" w:rsidRPr="003733B1">
              <w:rPr>
                <w:szCs w:val="22"/>
              </w:rPr>
              <w:t>dne</w:t>
            </w:r>
            <w:r w:rsidR="009C430B">
              <w:rPr>
                <w:szCs w:val="22"/>
              </w:rPr>
              <w:t xml:space="preserve"> 3. 4. 2025</w:t>
            </w:r>
            <w:r w:rsidR="001806EC" w:rsidRPr="003733B1">
              <w:rPr>
                <w:szCs w:val="22"/>
              </w:rPr>
              <w:t xml:space="preserve"> </w:t>
            </w:r>
          </w:p>
          <w:p w14:paraId="5CA5EAE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6430E0B7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5484F673" w14:textId="695FF744" w:rsidR="001806EC" w:rsidRPr="003733B1" w:rsidRDefault="008F0945" w:rsidP="008F0945">
            <w:pPr>
              <w:rPr>
                <w:szCs w:val="22"/>
              </w:rPr>
            </w:pPr>
            <w:r>
              <w:rPr>
                <w:szCs w:val="22"/>
              </w:rPr>
              <w:t xml:space="preserve">          </w:t>
            </w:r>
            <w:r w:rsidR="001806EC" w:rsidRPr="003733B1">
              <w:rPr>
                <w:szCs w:val="22"/>
              </w:rPr>
              <w:t>…………………………………………..</w:t>
            </w:r>
          </w:p>
          <w:p w14:paraId="7D559901" w14:textId="2706AA92" w:rsidR="006B7019" w:rsidRPr="00BD3AD0" w:rsidRDefault="009C430B" w:rsidP="009C430B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XXXXXXXXXXXXXXXX</w:t>
            </w:r>
          </w:p>
        </w:tc>
      </w:tr>
    </w:tbl>
    <w:p w14:paraId="6690FCB3" w14:textId="682D5D8E" w:rsidR="005D1844" w:rsidRDefault="008F0945">
      <w:r>
        <w:rPr>
          <w:rFonts w:cs="Arial"/>
          <w:szCs w:val="22"/>
        </w:rPr>
        <w:t xml:space="preserve"> </w:t>
      </w:r>
      <w:r w:rsidR="00AF3235">
        <w:rPr>
          <w:rFonts w:cs="Arial"/>
          <w:szCs w:val="22"/>
        </w:rPr>
        <w:t xml:space="preserve"> </w:t>
      </w:r>
      <w:r w:rsidR="00A05261">
        <w:rPr>
          <w:rFonts w:cs="Arial"/>
          <w:szCs w:val="22"/>
        </w:rPr>
        <w:t>ředitel NPÚ, ÚPS v Českých Budějovicích</w:t>
      </w:r>
    </w:p>
    <w:sectPr w:rsidR="005D18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9CE9" w14:textId="77777777" w:rsidR="00C448DA" w:rsidRDefault="00C448DA" w:rsidP="001806EC">
      <w:r>
        <w:separator/>
      </w:r>
    </w:p>
  </w:endnote>
  <w:endnote w:type="continuationSeparator" w:id="0">
    <w:p w14:paraId="652A2745" w14:textId="77777777" w:rsidR="00C448DA" w:rsidRDefault="00C448DA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ECE0" w14:textId="77777777" w:rsidR="00C448DA" w:rsidRDefault="00C448DA" w:rsidP="001806EC">
      <w:r>
        <w:separator/>
      </w:r>
    </w:p>
  </w:footnote>
  <w:footnote w:type="continuationSeparator" w:id="0">
    <w:p w14:paraId="10C7CBBA" w14:textId="77777777" w:rsidR="00C448DA" w:rsidRDefault="00C448DA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1AD7" w14:textId="4A51C612" w:rsidR="001806EC" w:rsidRDefault="001806EC" w:rsidP="00205F0A">
    <w:pPr>
      <w:jc w:val="right"/>
      <w:rPr>
        <w:rFonts w:cs="Arial"/>
        <w:szCs w:val="22"/>
      </w:rPr>
    </w:pPr>
    <w:proofErr w:type="gramStart"/>
    <w:r>
      <w:rPr>
        <w:rFonts w:cs="Arial"/>
        <w:szCs w:val="22"/>
      </w:rPr>
      <w:t>č</w:t>
    </w:r>
    <w:r w:rsidRPr="0057580A">
      <w:rPr>
        <w:rFonts w:cs="Arial"/>
        <w:szCs w:val="22"/>
      </w:rPr>
      <w:t>.j.</w:t>
    </w:r>
    <w:proofErr w:type="gramEnd"/>
    <w:r w:rsidRPr="0057580A">
      <w:rPr>
        <w:rFonts w:cs="Arial"/>
        <w:szCs w:val="22"/>
      </w:rPr>
      <w:t xml:space="preserve"> </w:t>
    </w:r>
    <w:r w:rsidR="003E24F6">
      <w:rPr>
        <w:rFonts w:cs="Arial"/>
        <w:szCs w:val="22"/>
      </w:rPr>
      <w:t>NPU-430/</w:t>
    </w:r>
    <w:r w:rsidR="00082D2F">
      <w:rPr>
        <w:rFonts w:cs="Arial"/>
        <w:szCs w:val="22"/>
      </w:rPr>
      <w:t>27506/2025</w:t>
    </w:r>
  </w:p>
  <w:p w14:paraId="2595D527" w14:textId="42DD63A5" w:rsidR="00205F0A" w:rsidRPr="0057580A" w:rsidRDefault="00205F0A" w:rsidP="00205F0A">
    <w:pPr>
      <w:jc w:val="right"/>
      <w:rPr>
        <w:rFonts w:cs="Arial"/>
        <w:szCs w:val="22"/>
      </w:rPr>
    </w:pPr>
    <w:r>
      <w:rPr>
        <w:rFonts w:cs="Arial"/>
        <w:szCs w:val="22"/>
      </w:rPr>
      <w:t xml:space="preserve">č. </w:t>
    </w:r>
    <w:proofErr w:type="spellStart"/>
    <w:r>
      <w:rPr>
        <w:rFonts w:cs="Arial"/>
        <w:szCs w:val="22"/>
      </w:rPr>
      <w:t>sml</w:t>
    </w:r>
    <w:proofErr w:type="spellEnd"/>
    <w:r>
      <w:rPr>
        <w:rFonts w:cs="Arial"/>
        <w:szCs w:val="22"/>
      </w:rPr>
      <w:t>.</w:t>
    </w:r>
    <w:r w:rsidR="009E7DA7" w:rsidRPr="009E7DA7">
      <w:t xml:space="preserve"> </w:t>
    </w:r>
    <w:r w:rsidR="00082D2F" w:rsidRPr="00082D2F">
      <w:t>3002J125014</w:t>
    </w:r>
  </w:p>
  <w:p w14:paraId="5D59A5F6" w14:textId="77777777" w:rsidR="001806EC" w:rsidRDefault="001806EC" w:rsidP="001806EC">
    <w:pPr>
      <w:rPr>
        <w:rFonts w:cs="Arial"/>
        <w:b/>
        <w:szCs w:val="22"/>
      </w:rPr>
    </w:pPr>
  </w:p>
  <w:p w14:paraId="5340B1DF" w14:textId="77777777" w:rsidR="001806EC" w:rsidRDefault="00180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EC"/>
    <w:rsid w:val="00021905"/>
    <w:rsid w:val="00050049"/>
    <w:rsid w:val="00082D2F"/>
    <w:rsid w:val="00125E2A"/>
    <w:rsid w:val="001806EC"/>
    <w:rsid w:val="00186C93"/>
    <w:rsid w:val="0019170D"/>
    <w:rsid w:val="001E4409"/>
    <w:rsid w:val="00205F0A"/>
    <w:rsid w:val="002676A2"/>
    <w:rsid w:val="0038175B"/>
    <w:rsid w:val="003E24F6"/>
    <w:rsid w:val="00461B82"/>
    <w:rsid w:val="004E4958"/>
    <w:rsid w:val="00556857"/>
    <w:rsid w:val="0056693E"/>
    <w:rsid w:val="005D1844"/>
    <w:rsid w:val="006144C0"/>
    <w:rsid w:val="006B7019"/>
    <w:rsid w:val="00791D21"/>
    <w:rsid w:val="007B293A"/>
    <w:rsid w:val="007C16D6"/>
    <w:rsid w:val="00867056"/>
    <w:rsid w:val="008C1B07"/>
    <w:rsid w:val="008D6C17"/>
    <w:rsid w:val="008F0945"/>
    <w:rsid w:val="008F426D"/>
    <w:rsid w:val="00920C48"/>
    <w:rsid w:val="009473AA"/>
    <w:rsid w:val="009C430B"/>
    <w:rsid w:val="009E7A10"/>
    <w:rsid w:val="009E7DA7"/>
    <w:rsid w:val="00A05261"/>
    <w:rsid w:val="00AB6629"/>
    <w:rsid w:val="00AF3235"/>
    <w:rsid w:val="00B21286"/>
    <w:rsid w:val="00B77311"/>
    <w:rsid w:val="00BB4596"/>
    <w:rsid w:val="00BC5D94"/>
    <w:rsid w:val="00C448DA"/>
    <w:rsid w:val="00CD60A2"/>
    <w:rsid w:val="00D950AA"/>
    <w:rsid w:val="00DE6F1F"/>
    <w:rsid w:val="00E35D03"/>
    <w:rsid w:val="00EC3275"/>
    <w:rsid w:val="00F03CE3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3B50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uiPriority w:val="22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  <w:style w:type="paragraph" w:customStyle="1" w:styleId="a0">
    <w:qFormat/>
    <w:rsid w:val="00B2128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3A7C-C362-47D5-8E3E-F243F99B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Monika Koupilová</cp:lastModifiedBy>
  <cp:revision>14</cp:revision>
  <cp:lastPrinted>2024-03-21T13:03:00Z</cp:lastPrinted>
  <dcterms:created xsi:type="dcterms:W3CDTF">2024-03-21T13:38:00Z</dcterms:created>
  <dcterms:modified xsi:type="dcterms:W3CDTF">2025-05-06T13:27:00Z</dcterms:modified>
</cp:coreProperties>
</file>