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17" w:rsidRPr="009458A7" w:rsidRDefault="00085A17" w:rsidP="00085A17">
      <w:pPr>
        <w:pStyle w:val="Zkladntext1"/>
        <w:spacing w:line="230" w:lineRule="auto"/>
        <w:ind w:left="2180"/>
        <w:jc w:val="right"/>
        <w:rPr>
          <w:rStyle w:val="Zkladntext"/>
          <w:sz w:val="16"/>
          <w:szCs w:val="16"/>
        </w:rPr>
      </w:pPr>
      <w:r>
        <w:rPr>
          <w:rStyle w:val="Zkladntext"/>
          <w:sz w:val="16"/>
          <w:szCs w:val="16"/>
        </w:rPr>
        <w:t>Příloha 2.</w:t>
      </w:r>
    </w:p>
    <w:p w:rsidR="00085A17" w:rsidRDefault="00085A17" w:rsidP="00085A17">
      <w:pPr>
        <w:pStyle w:val="Zkladntext1"/>
        <w:spacing w:after="440" w:line="230" w:lineRule="auto"/>
        <w:ind w:left="2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47B21" wp14:editId="0274944F">
                <wp:simplePos x="0" y="0"/>
                <wp:positionH relativeFrom="page">
                  <wp:posOffset>563880</wp:posOffset>
                </wp:positionH>
                <wp:positionV relativeFrom="paragraph">
                  <wp:posOffset>127000</wp:posOffset>
                </wp:positionV>
                <wp:extent cx="1283335" cy="46037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Jin0"/>
                              <w:spacing w:after="8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  <w:t>Kooperativa</w:t>
                            </w:r>
                          </w:p>
                          <w:p w:rsidR="00085A17" w:rsidRDefault="00085A17" w:rsidP="00085A17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sz w:val="20"/>
                                <w:szCs w:val="20"/>
                              </w:rPr>
                              <w:t>VIENNA INSURANCE GROUP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847B21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44.4pt;margin-top:10pt;width:101.05pt;height:36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" filled="f" stroked="f">
                <v:textbox inset="0,0,0,0">
                  <w:txbxContent>
                    <w:p w:rsidR="00085A17" w:rsidRDefault="00085A17" w:rsidP="00085A17">
                      <w:pPr>
                        <w:pStyle w:val="Jin0"/>
                        <w:spacing w:after="80" w:line="24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sz w:val="30"/>
                          <w:szCs w:val="30"/>
                        </w:rPr>
                        <w:t>Kooperativa</w:t>
                      </w:r>
                    </w:p>
                    <w:p w:rsidR="00085A17" w:rsidRDefault="00085A17" w:rsidP="00085A17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sz w:val="20"/>
                          <w:szCs w:val="20"/>
                        </w:rPr>
                        <w:t>VIENNA INSURANCE GROUP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Kooperativa pojišťovna, a.s., </w:t>
      </w:r>
      <w:proofErr w:type="spellStart"/>
      <w:r>
        <w:rPr>
          <w:rStyle w:val="Zkladntext"/>
        </w:rPr>
        <w:t>Vienna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Insurance</w:t>
      </w:r>
      <w:proofErr w:type="spellEnd"/>
      <w:r>
        <w:rPr>
          <w:rStyle w:val="Zkladntext"/>
        </w:rPr>
        <w:t xml:space="preserve"> Group se sídlem Pobřežní 665/21,186 00 Praha 8, Česká republika IČO: 47116617</w:t>
      </w:r>
    </w:p>
    <w:p w:rsidR="00085A17" w:rsidRDefault="00085A17" w:rsidP="00085A17">
      <w:pPr>
        <w:pStyle w:val="Jin0"/>
        <w:spacing w:after="240" w:line="240" w:lineRule="auto"/>
        <w:rPr>
          <w:sz w:val="36"/>
          <w:szCs w:val="36"/>
        </w:rPr>
      </w:pPr>
      <w:r>
        <w:rPr>
          <w:rStyle w:val="Jin"/>
          <w:b/>
          <w:bCs/>
          <w:sz w:val="36"/>
          <w:szCs w:val="36"/>
        </w:rPr>
        <w:t>Potvrzení o pojištění odpovědnosti za újmu *</w:t>
      </w:r>
    </w:p>
    <w:p w:rsidR="00085A17" w:rsidRDefault="00085A17" w:rsidP="00085A17">
      <w:pPr>
        <w:pStyle w:val="Zkladntext1"/>
        <w:spacing w:after="240" w:line="226" w:lineRule="auto"/>
      </w:pPr>
      <w:r>
        <w:rPr>
          <w:rStyle w:val="Zkladntext"/>
        </w:rPr>
        <w:t>Potvrzujeme, že jsme s pojistníkem:</w:t>
      </w:r>
    </w:p>
    <w:p w:rsidR="00085A17" w:rsidRDefault="00085A17" w:rsidP="00085A17">
      <w:pPr>
        <w:pStyle w:val="Nadpis40"/>
        <w:keepNext/>
        <w:keepLines/>
        <w:numPr>
          <w:ilvl w:val="0"/>
          <w:numId w:val="32"/>
        </w:numPr>
        <w:tabs>
          <w:tab w:val="left" w:pos="715"/>
        </w:tabs>
        <w:spacing w:after="0" w:line="226" w:lineRule="auto"/>
        <w:ind w:firstLine="360"/>
        <w:jc w:val="both"/>
      </w:pPr>
      <w:bookmarkStart w:id="0" w:name="bookmark30"/>
      <w:r>
        <w:rPr>
          <w:rStyle w:val="Nadpis4"/>
          <w:rFonts w:ascii="Calibri" w:eastAsia="Calibri" w:hAnsi="Calibri" w:cs="Calibri"/>
        </w:rPr>
        <w:t xml:space="preserve">Podještědský FC Český Dub, </w:t>
      </w:r>
      <w:proofErr w:type="spellStart"/>
      <w:r>
        <w:rPr>
          <w:rStyle w:val="Nadpis4"/>
          <w:rFonts w:ascii="Calibri" w:eastAsia="Calibri" w:hAnsi="Calibri" w:cs="Calibri"/>
        </w:rPr>
        <w:t>z.s</w:t>
      </w:r>
      <w:proofErr w:type="spellEnd"/>
      <w:r>
        <w:rPr>
          <w:rStyle w:val="Nadpis4"/>
          <w:rFonts w:ascii="Calibri" w:eastAsia="Calibri" w:hAnsi="Calibri" w:cs="Calibri"/>
        </w:rPr>
        <w:t>.</w:t>
      </w:r>
      <w:bookmarkEnd w:id="0"/>
    </w:p>
    <w:p w:rsidR="00085A17" w:rsidRDefault="00085A17" w:rsidP="00085A17">
      <w:pPr>
        <w:pStyle w:val="Zkladntext1"/>
        <w:numPr>
          <w:ilvl w:val="0"/>
          <w:numId w:val="32"/>
        </w:numPr>
        <w:tabs>
          <w:tab w:val="left" w:pos="715"/>
        </w:tabs>
        <w:spacing w:line="226" w:lineRule="auto"/>
        <w:ind w:firstLine="360"/>
        <w:jc w:val="both"/>
      </w:pPr>
      <w:r>
        <w:rPr>
          <w:rStyle w:val="Zkladntext"/>
        </w:rPr>
        <w:t>IČO: 46746412</w:t>
      </w:r>
    </w:p>
    <w:p w:rsidR="00085A17" w:rsidRDefault="00085A17" w:rsidP="00085A17">
      <w:pPr>
        <w:pStyle w:val="Zkladntext1"/>
        <w:numPr>
          <w:ilvl w:val="0"/>
          <w:numId w:val="32"/>
        </w:numPr>
        <w:tabs>
          <w:tab w:val="left" w:pos="715"/>
        </w:tabs>
        <w:spacing w:after="320" w:line="226" w:lineRule="auto"/>
        <w:ind w:firstLine="360"/>
        <w:jc w:val="both"/>
      </w:pPr>
      <w:r>
        <w:rPr>
          <w:rStyle w:val="Zkladntext"/>
        </w:rPr>
        <w:t>adresa sídla: Husova 159,46343 Český Dub</w:t>
      </w:r>
    </w:p>
    <w:p w:rsidR="00085A17" w:rsidRDefault="00085A17" w:rsidP="00085A17">
      <w:pPr>
        <w:pStyle w:val="Zkladntext1"/>
        <w:spacing w:after="240" w:line="226" w:lineRule="auto"/>
        <w:jc w:val="both"/>
        <w:rPr>
          <w:sz w:val="36"/>
          <w:szCs w:val="36"/>
        </w:rPr>
      </w:pPr>
      <w:r>
        <w:rPr>
          <w:rStyle w:val="Zkladntext"/>
        </w:rPr>
        <w:t xml:space="preserve">uzavřeli pojistnou smlouvu </w:t>
      </w:r>
      <w:r>
        <w:rPr>
          <w:rStyle w:val="Zkladntext"/>
          <w:b/>
          <w:bCs/>
          <w:sz w:val="36"/>
          <w:szCs w:val="36"/>
        </w:rPr>
        <w:t>č. 8603283513</w:t>
      </w:r>
    </w:p>
    <w:p w:rsidR="00085A17" w:rsidRDefault="00085A17" w:rsidP="00085A17">
      <w:pPr>
        <w:pStyle w:val="Nadpis40"/>
        <w:keepNext/>
        <w:keepLines/>
        <w:spacing w:after="240" w:line="226" w:lineRule="auto"/>
        <w:jc w:val="both"/>
      </w:pPr>
      <w:bookmarkStart w:id="1" w:name="bookmark32"/>
      <w:r>
        <w:rPr>
          <w:rStyle w:val="Nadpis4"/>
          <w:rFonts w:ascii="Calibri" w:eastAsia="Calibri" w:hAnsi="Calibri" w:cs="Calibri"/>
        </w:rPr>
        <w:t>Pojistník je totožný * pojištěným.</w:t>
      </w:r>
      <w:bookmarkEnd w:id="1"/>
    </w:p>
    <w:p w:rsidR="00085A17" w:rsidRDefault="00085A17" w:rsidP="00085A17">
      <w:pPr>
        <w:pStyle w:val="Zkladntext1"/>
        <w:spacing w:after="240" w:line="226" w:lineRule="auto"/>
        <w:jc w:val="both"/>
      </w:pPr>
      <w:r>
        <w:rPr>
          <w:rStyle w:val="Zkladntext"/>
        </w:rPr>
        <w:t xml:space="preserve">Tato pojistná smlouva je uzavřena s účinností </w:t>
      </w:r>
      <w:r>
        <w:rPr>
          <w:rStyle w:val="Zkladntext"/>
          <w:b/>
          <w:bCs/>
        </w:rPr>
        <w:t>od 1.6.2021 do 31.5.2026.</w:t>
      </w:r>
    </w:p>
    <w:p w:rsidR="00085A17" w:rsidRDefault="00085A17" w:rsidP="00085A17">
      <w:pPr>
        <w:pStyle w:val="Zkladntext1"/>
        <w:spacing w:after="240" w:line="223" w:lineRule="auto"/>
        <w:jc w:val="both"/>
      </w:pPr>
      <w:r>
        <w:rPr>
          <w:rStyle w:val="Zkladntext"/>
        </w:rPr>
        <w:t>Pojištění je sjednáno pro případ právním předpisem stanovené odpovědnosti pojištěného za újmu vzniklou jinému v souvislosti s činností nebo vztahem pojištěného, které jsou specifikovány v pojistné smlouvě.</w:t>
      </w:r>
    </w:p>
    <w:p w:rsidR="00085A17" w:rsidRDefault="00085A17" w:rsidP="00085A17">
      <w:pPr>
        <w:pStyle w:val="Zkladntext1"/>
        <w:spacing w:after="240" w:line="230" w:lineRule="auto"/>
        <w:jc w:val="both"/>
      </w:pPr>
      <w:r>
        <w:rPr>
          <w:rStyle w:val="Zkladntext"/>
        </w:rPr>
        <w:t>Pojištění se vtahuje i na odpovědnost za újmu způsobenou vadou výrobku a vadou vykonané práce, která se projeví po jejím předání, a to v souvislosti s výkonem činnosti zahrnuté do pojištění výše uvedenou pojistnou smlouvou.</w:t>
      </w:r>
    </w:p>
    <w:p w:rsidR="00085A17" w:rsidRDefault="00085A17" w:rsidP="00085A17">
      <w:pPr>
        <w:pStyle w:val="Jin0"/>
        <w:spacing w:after="240" w:line="240" w:lineRule="auto"/>
        <w:rPr>
          <w:sz w:val="32"/>
          <w:szCs w:val="32"/>
        </w:rPr>
      </w:pPr>
      <w:r>
        <w:rPr>
          <w:rStyle w:val="Jin"/>
          <w:b/>
          <w:bCs/>
          <w:i/>
          <w:iCs/>
          <w:sz w:val="32"/>
          <w:szCs w:val="32"/>
        </w:rPr>
        <w:t>Základní pojištění je sjednáno</w:t>
      </w:r>
      <w:r>
        <w:rPr>
          <w:rStyle w:val="Jin"/>
          <w:b/>
          <w:bCs/>
          <w:sz w:val="32"/>
          <w:szCs w:val="32"/>
        </w:rPr>
        <w:t xml:space="preserve"> s limitem </w:t>
      </w:r>
      <w:r>
        <w:rPr>
          <w:rStyle w:val="Jin"/>
          <w:b/>
          <w:bCs/>
          <w:i/>
          <w:iCs/>
          <w:sz w:val="32"/>
          <w:szCs w:val="32"/>
        </w:rPr>
        <w:t>pojistného plnění ve výši:</w:t>
      </w:r>
      <w:r>
        <w:rPr>
          <w:rStyle w:val="Jin"/>
          <w:b/>
          <w:bCs/>
          <w:sz w:val="32"/>
          <w:szCs w:val="32"/>
        </w:rPr>
        <w:t xml:space="preserve"> 5 </w:t>
      </w:r>
      <w:r>
        <w:rPr>
          <w:rStyle w:val="Jin"/>
          <w:b/>
          <w:bCs/>
          <w:i/>
          <w:iCs/>
          <w:sz w:val="32"/>
          <w:szCs w:val="32"/>
        </w:rPr>
        <w:t>000 000 Kč</w:t>
      </w:r>
    </w:p>
    <w:p w:rsidR="00085A17" w:rsidRDefault="00085A17" w:rsidP="0060394B">
      <w:pPr>
        <w:pStyle w:val="Zkladntext1"/>
        <w:spacing w:after="240" w:line="226" w:lineRule="auto"/>
        <w:jc w:val="both"/>
        <w:sectPr w:rsidR="00085A17">
          <w:footerReference w:type="default" r:id="rId7"/>
          <w:pgSz w:w="11900" w:h="16840"/>
          <w:pgMar w:top="462" w:right="658" w:bottom="1152" w:left="697" w:header="0" w:footer="3" w:gutter="0"/>
          <w:cols w:space="720"/>
          <w:noEndnote/>
          <w:docGrid w:linePitch="360"/>
        </w:sectPr>
      </w:pPr>
      <w:r>
        <w:rPr>
          <w:rStyle w:val="Zkladntext"/>
        </w:rPr>
        <w:t>Výše uvedený Limit pojistného plnění je horní hranicí plnění pojistitele z jedné pojistné události. Na úhradu všech pojistných událostí nastalých během jednoho pojistného roku poskytne pojistitel pojistné plnění v souhrnu maximálně do výše dvojnásobku Limitu pojistného plnění sjednaného v pojistné smlouvě. Je-li pojištění sjednáno na dobu kratší než jeden pojistný rok, poskytne pojistitel na úhradu všech pojistných událostí nastalých během doby trvání pojištění pojistn</w:t>
      </w:r>
      <w:bookmarkStart w:id="2" w:name="_GoBack"/>
      <w:bookmarkEnd w:id="2"/>
      <w:r>
        <w:rPr>
          <w:rStyle w:val="Zkladntext"/>
        </w:rPr>
        <w:t>é plnění v souhrnu maximálně do výše limitu pojistného plnění sjednaného v pojistné smlouvě.</w:t>
      </w:r>
    </w:p>
    <w:p w:rsidR="00085A17" w:rsidRDefault="00085A17" w:rsidP="00085A17">
      <w:pPr>
        <w:pStyle w:val="Jin0"/>
        <w:spacing w:after="240" w:line="240" w:lineRule="auto"/>
        <w:jc w:val="both"/>
        <w:rPr>
          <w:sz w:val="32"/>
          <w:szCs w:val="32"/>
        </w:rPr>
      </w:pPr>
      <w:r>
        <w:rPr>
          <w:rStyle w:val="Jin"/>
          <w:b/>
          <w:bCs/>
          <w:sz w:val="32"/>
          <w:szCs w:val="32"/>
          <w:u w:val="single"/>
        </w:rPr>
        <w:lastRenderedPageBreak/>
        <w:t>Pojištění odpovědnosti za újmu se dále rozšiřuje o tato připojištění</w:t>
      </w:r>
      <w:r>
        <w:rPr>
          <w:rStyle w:val="Jin"/>
          <w:b/>
          <w:bCs/>
          <w:sz w:val="32"/>
          <w:szCs w:val="32"/>
        </w:rPr>
        <w:t>:</w:t>
      </w:r>
    </w:p>
    <w:p w:rsidR="00085A17" w:rsidRDefault="00085A17" w:rsidP="00085A17">
      <w:pPr>
        <w:pStyle w:val="Nadpis40"/>
        <w:keepNext/>
        <w:keepLines/>
        <w:spacing w:after="240" w:line="226" w:lineRule="auto"/>
        <w:jc w:val="both"/>
      </w:pPr>
      <w:bookmarkStart w:id="3" w:name="bookmark34"/>
      <w:r>
        <w:rPr>
          <w:rStyle w:val="Nadpis4"/>
          <w:rFonts w:ascii="Calibri" w:eastAsia="Calibri" w:hAnsi="Calibri" w:cs="Calibri"/>
          <w:u w:val="single"/>
        </w:rPr>
        <w:t>Připojištění odpovědnosti za čistou finanční škodu</w:t>
      </w:r>
      <w:bookmarkEnd w:id="3"/>
    </w:p>
    <w:p w:rsidR="00085A17" w:rsidRDefault="00085A17" w:rsidP="00085A17">
      <w:pPr>
        <w:pStyle w:val="Zkladntext1"/>
        <w:spacing w:line="228" w:lineRule="auto"/>
        <w:jc w:val="both"/>
      </w:pPr>
      <w:r>
        <w:rPr>
          <w:rStyle w:val="Zkladntext"/>
        </w:rPr>
        <w:t>Připojištění odpovědnosti za škodu, která vznikla jinému jinak, než jako škoda na věci nebo na zvířeti, nebo jako škoda vyplývající z újmy na zdraví nebo na životě nebo ze škody na věci nebo na zvířeti.</w:t>
      </w:r>
    </w:p>
    <w:p w:rsidR="00085A17" w:rsidRDefault="00085A17" w:rsidP="00085A17">
      <w:pPr>
        <w:pStyle w:val="Zkladntext1"/>
        <w:spacing w:after="240" w:line="228" w:lineRule="auto"/>
        <w:jc w:val="both"/>
      </w:pPr>
      <w:r w:rsidRPr="00560E5D">
        <w:rPr>
          <w:rStyle w:val="Zkladntext"/>
          <w:b/>
          <w:bCs/>
          <w:iCs/>
        </w:rPr>
        <w:t>Připojištění ji sjednáno</w:t>
      </w:r>
      <w:r w:rsidRPr="00560E5D">
        <w:rPr>
          <w:rStyle w:val="Zkladntext"/>
          <w:b/>
          <w:bCs/>
        </w:rPr>
        <w:t xml:space="preserve"> se </w:t>
      </w:r>
      <w:proofErr w:type="spellStart"/>
      <w:r w:rsidRPr="00560E5D">
        <w:rPr>
          <w:rStyle w:val="Zkladntext"/>
          <w:b/>
          <w:bCs/>
          <w:iCs/>
        </w:rPr>
        <w:t>sublimitem</w:t>
      </w:r>
      <w:proofErr w:type="spellEnd"/>
      <w:r w:rsidRPr="00560E5D">
        <w:rPr>
          <w:rStyle w:val="Zkladntext"/>
          <w:b/>
          <w:bCs/>
        </w:rPr>
        <w:t xml:space="preserve"> ve výši: 500 000 </w:t>
      </w:r>
      <w:r w:rsidRPr="00560E5D">
        <w:rPr>
          <w:rStyle w:val="Zkladntext"/>
          <w:b/>
          <w:bCs/>
          <w:iCs/>
        </w:rPr>
        <w:t>Kč</w:t>
      </w:r>
      <w:r>
        <w:rPr>
          <w:rStyle w:val="Zkladntext"/>
          <w:b/>
          <w:bCs/>
          <w:i/>
          <w:iCs/>
        </w:rPr>
        <w:t>.</w:t>
      </w:r>
    </w:p>
    <w:p w:rsidR="00085A17" w:rsidRDefault="00085A17" w:rsidP="00085A17">
      <w:pPr>
        <w:pStyle w:val="Zkladntext1"/>
        <w:spacing w:after="240" w:line="226" w:lineRule="auto"/>
        <w:jc w:val="both"/>
      </w:pPr>
      <w:r>
        <w:rPr>
          <w:rStyle w:val="Zkladntext"/>
        </w:rPr>
        <w:t xml:space="preserve">Pojištění se vztahuje na pojistné události, při nichž nastane škoda na území </w:t>
      </w:r>
      <w:r>
        <w:rPr>
          <w:rStyle w:val="Zkladntext"/>
          <w:b/>
          <w:bCs/>
        </w:rPr>
        <w:t>české republiky.</w:t>
      </w:r>
    </w:p>
    <w:p w:rsidR="00085A17" w:rsidRDefault="00085A17" w:rsidP="00085A17">
      <w:pPr>
        <w:pStyle w:val="Nadpis40"/>
        <w:keepNext/>
        <w:keepLines/>
        <w:spacing w:after="0" w:line="226" w:lineRule="auto"/>
        <w:jc w:val="both"/>
      </w:pPr>
      <w:bookmarkStart w:id="4" w:name="bookmark36"/>
      <w:r>
        <w:rPr>
          <w:rStyle w:val="Nadpis4"/>
          <w:rFonts w:ascii="Calibri" w:eastAsia="Calibri" w:hAnsi="Calibri" w:cs="Calibri"/>
          <w:u w:val="single"/>
        </w:rPr>
        <w:t>Připojištění odpovědnosti za újmu na věcech převzatých nebo ne věcech nebo zvířatech užívaných</w:t>
      </w:r>
      <w:bookmarkEnd w:id="4"/>
    </w:p>
    <w:p w:rsidR="00085A17" w:rsidRDefault="00085A17" w:rsidP="00085A17">
      <w:pPr>
        <w:pStyle w:val="Zkladntext1"/>
        <w:spacing w:line="226" w:lineRule="auto"/>
        <w:jc w:val="both"/>
      </w:pPr>
      <w:r>
        <w:rPr>
          <w:rStyle w:val="Zkladntext"/>
        </w:rPr>
        <w:t>Připojištění odpovědnosti za újmu způsobenou na movité věci, kterou pojištěný převzal za účelem provedení objednané činnosti (např. opravy, úpravy, prodeje, úschovy, uskladnění nebo poskytnutí odborné pomoci) a pojištění odpovědnosti za újmu způsobenou na movité věci nebo zvířeti, které pojištěný oprávněně užívá. Pojištění se nevztahuje na újmu způsobenou na užívaném motorovém vozidle a převzatém zvířeti.</w:t>
      </w:r>
    </w:p>
    <w:p w:rsidR="00085A17" w:rsidRDefault="00085A17" w:rsidP="00085A17">
      <w:pPr>
        <w:pStyle w:val="Zkladntext1"/>
        <w:spacing w:line="226" w:lineRule="auto"/>
        <w:jc w:val="both"/>
      </w:pPr>
      <w:r>
        <w:rPr>
          <w:rStyle w:val="Zkladntext"/>
        </w:rPr>
        <w:t xml:space="preserve">Připojištění se </w:t>
      </w:r>
      <w:r>
        <w:rPr>
          <w:rStyle w:val="Zkladntext"/>
          <w:b/>
          <w:bCs/>
        </w:rPr>
        <w:t xml:space="preserve">nevztahuje </w:t>
      </w:r>
      <w:r>
        <w:rPr>
          <w:rStyle w:val="Zkladntext"/>
        </w:rPr>
        <w:t>na odpovědnost za újmu způsobenou na převzatém motorovém vozidle.</w:t>
      </w:r>
    </w:p>
    <w:p w:rsidR="00085A17" w:rsidRPr="00560E5D" w:rsidRDefault="00085A17" w:rsidP="00085A17">
      <w:pPr>
        <w:pStyle w:val="Zkladntext1"/>
        <w:spacing w:after="500" w:line="226" w:lineRule="auto"/>
        <w:jc w:val="both"/>
      </w:pPr>
      <w:r w:rsidRPr="00560E5D">
        <w:rPr>
          <w:rStyle w:val="Zkladntext"/>
          <w:b/>
          <w:bCs/>
          <w:iCs/>
        </w:rPr>
        <w:t>Připojištění je sjednáno</w:t>
      </w:r>
      <w:r w:rsidRPr="00560E5D">
        <w:rPr>
          <w:rStyle w:val="Zkladntext"/>
          <w:b/>
          <w:bCs/>
        </w:rPr>
        <w:t xml:space="preserve"> se </w:t>
      </w:r>
      <w:proofErr w:type="spellStart"/>
      <w:r w:rsidRPr="00560E5D">
        <w:rPr>
          <w:rStyle w:val="Zkladntext"/>
          <w:b/>
          <w:bCs/>
          <w:iCs/>
        </w:rPr>
        <w:t>sublimitem</w:t>
      </w:r>
      <w:proofErr w:type="spellEnd"/>
      <w:r w:rsidRPr="00560E5D">
        <w:rPr>
          <w:rStyle w:val="Zkladntext"/>
          <w:b/>
          <w:bCs/>
        </w:rPr>
        <w:t xml:space="preserve"> ve </w:t>
      </w:r>
      <w:r w:rsidRPr="00560E5D">
        <w:rPr>
          <w:rStyle w:val="Zkladntext"/>
          <w:b/>
          <w:bCs/>
          <w:iCs/>
        </w:rPr>
        <w:t>výši: 500 000 Kč.</w:t>
      </w:r>
    </w:p>
    <w:p w:rsidR="00085A17" w:rsidRDefault="00085A17" w:rsidP="00085A17">
      <w:pPr>
        <w:pStyle w:val="Zkladntext1"/>
        <w:spacing w:line="228" w:lineRule="auto"/>
        <w:jc w:val="both"/>
      </w:pPr>
      <w:r>
        <w:rPr>
          <w:rStyle w:val="Zkladntext"/>
          <w:b/>
          <w:bCs/>
          <w:u w:val="single"/>
        </w:rPr>
        <w:t>Připojištění odpovědnosti, které se vztahuje na náhradu nemajetkové újmy</w:t>
      </w:r>
      <w:r>
        <w:rPr>
          <w:rStyle w:val="Zkladntext"/>
          <w:b/>
          <w:bCs/>
        </w:rPr>
        <w:t xml:space="preserve"> </w:t>
      </w:r>
      <w:r>
        <w:rPr>
          <w:rStyle w:val="Zkladntext"/>
        </w:rPr>
        <w:t>způsobené neoprávněným zásahem do práva na ochranu osobnosti. Rozsah tohoto připojištění je vymezen v pojistné smlouvě.</w:t>
      </w:r>
    </w:p>
    <w:p w:rsidR="00085A17" w:rsidRPr="00560E5D" w:rsidRDefault="00085A17" w:rsidP="00085A17">
      <w:pPr>
        <w:pStyle w:val="Zkladntext1"/>
        <w:spacing w:after="500" w:line="228" w:lineRule="auto"/>
      </w:pPr>
      <w:r w:rsidRPr="00560E5D">
        <w:rPr>
          <w:rStyle w:val="Zkladntext"/>
          <w:b/>
          <w:bCs/>
          <w:iCs/>
        </w:rPr>
        <w:t>Připojištění je sjednáno</w:t>
      </w:r>
      <w:r w:rsidRPr="00560E5D">
        <w:rPr>
          <w:rStyle w:val="Zkladntext"/>
          <w:b/>
          <w:bCs/>
        </w:rPr>
        <w:t xml:space="preserve"> se </w:t>
      </w:r>
      <w:proofErr w:type="spellStart"/>
      <w:r w:rsidRPr="00560E5D">
        <w:rPr>
          <w:rStyle w:val="Zkladntext"/>
          <w:b/>
          <w:bCs/>
        </w:rPr>
        <w:t>sublimitem</w:t>
      </w:r>
      <w:proofErr w:type="spellEnd"/>
      <w:r w:rsidRPr="00560E5D">
        <w:rPr>
          <w:rStyle w:val="Zkladntext"/>
          <w:b/>
          <w:bCs/>
        </w:rPr>
        <w:t xml:space="preserve"> ve výši: </w:t>
      </w:r>
      <w:r w:rsidRPr="00560E5D">
        <w:rPr>
          <w:rStyle w:val="Zkladntext"/>
          <w:b/>
          <w:bCs/>
          <w:iCs/>
        </w:rPr>
        <w:t>500 000 Kč.</w:t>
      </w:r>
    </w:p>
    <w:p w:rsidR="00085A17" w:rsidRDefault="00085A17" w:rsidP="00085A17">
      <w:pPr>
        <w:pStyle w:val="Zkladntext1"/>
        <w:spacing w:after="500" w:line="226" w:lineRule="auto"/>
        <w:jc w:val="both"/>
      </w:pPr>
      <w:r>
        <w:rPr>
          <w:rStyle w:val="Zkladntext"/>
        </w:rPr>
        <w:t xml:space="preserve">Připojištění se sjednávají se </w:t>
      </w:r>
      <w:proofErr w:type="spellStart"/>
      <w:r>
        <w:rPr>
          <w:rStyle w:val="Zkladntext"/>
        </w:rPr>
        <w:t>sublimitem</w:t>
      </w:r>
      <w:proofErr w:type="spellEnd"/>
      <w:r>
        <w:rPr>
          <w:rStyle w:val="Zkladntext"/>
        </w:rPr>
        <w:t xml:space="preserve"> plnění v rámci limitu pojistného plnění sjednaného pro základní pojištění. </w:t>
      </w:r>
      <w:proofErr w:type="spellStart"/>
      <w:r>
        <w:rPr>
          <w:rStyle w:val="Zkladntext"/>
        </w:rPr>
        <w:t>Sublimit</w:t>
      </w:r>
      <w:proofErr w:type="spellEnd"/>
      <w:r>
        <w:rPr>
          <w:rStyle w:val="Zkladntext"/>
        </w:rPr>
        <w:t xml:space="preserve"> je horní hranicí plnění pojistitele pro jednu pojistnou událost. To platí i pro hromadnou pojistnou událost. Pojistné plnění vyplacené z pojistných událostí nastalých z připojištění v průběhu jednoho pojistného roku nesmí přesáhnout dvojnásobek </w:t>
      </w:r>
      <w:proofErr w:type="spellStart"/>
      <w:r>
        <w:rPr>
          <w:rStyle w:val="Zkladntext"/>
        </w:rPr>
        <w:t>sublimitu</w:t>
      </w:r>
      <w:proofErr w:type="spellEnd"/>
      <w:r>
        <w:rPr>
          <w:rStyle w:val="Zkladntext"/>
        </w:rPr>
        <w:t>, není-li v pojistné smlouvě sjednáno jinak.</w:t>
      </w:r>
    </w:p>
    <w:p w:rsidR="00085A17" w:rsidRDefault="00085A17" w:rsidP="00085A17">
      <w:pPr>
        <w:pStyle w:val="Zkladntext1"/>
        <w:spacing w:after="240" w:line="240" w:lineRule="auto"/>
        <w:jc w:val="both"/>
      </w:pPr>
      <w:r>
        <w:rPr>
          <w:rStyle w:val="Zkladntext"/>
        </w:rPr>
        <w:t xml:space="preserve">Pojištění se vztahuje na pojistné události, při nichž nastane škoda na území </w:t>
      </w:r>
      <w:r>
        <w:rPr>
          <w:rStyle w:val="Zkladntext"/>
          <w:b/>
          <w:bCs/>
        </w:rPr>
        <w:t>České republiky.</w:t>
      </w:r>
    </w:p>
    <w:p w:rsidR="00085A17" w:rsidRDefault="00085A17" w:rsidP="00085A17">
      <w:pPr>
        <w:pStyle w:val="Zkladntext1"/>
        <w:spacing w:after="240" w:line="223" w:lineRule="auto"/>
        <w:jc w:val="both"/>
      </w:pPr>
      <w:r>
        <w:rPr>
          <w:rStyle w:val="Zkladntext"/>
        </w:rPr>
        <w:t>* Toto potvrzení o pojištění je vystaveno na žádost pojistníka. Rozsah pojištění se řídí pojistnou smlouvou a pojistnými podmínkami, které jsou nedílnou součástí výše uvedené pojistné smlouvy.</w:t>
      </w:r>
    </w:p>
    <w:p w:rsidR="00085A17" w:rsidRDefault="00085A17" w:rsidP="00085A17">
      <w:pPr>
        <w:pStyle w:val="Nadpis40"/>
        <w:keepNext/>
        <w:keepLines/>
        <w:spacing w:after="240"/>
        <w:jc w:val="both"/>
      </w:pPr>
      <w:bookmarkStart w:id="5" w:name="bookmark38"/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D6A3CCB" wp14:editId="7FAB0406">
                <wp:simplePos x="0" y="0"/>
                <wp:positionH relativeFrom="page">
                  <wp:posOffset>5027295</wp:posOffset>
                </wp:positionH>
                <wp:positionV relativeFrom="paragraph">
                  <wp:posOffset>1844040</wp:posOffset>
                </wp:positionV>
                <wp:extent cx="1755775" cy="17653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6A3CCB" id="Shape 33" o:spid="_x0000_s1027" type="#_x0000_t202" style="position:absolute;left:0;text-align:left;margin-left:395.85pt;margin-top:145.2pt;width:138.25pt;height:13.9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" filled="f" stroked="f">
                <v:textbox inset="0,0,0,0">
                  <w:txbxContent>
                    <w:p w:rsidR="00085A17" w:rsidRDefault="00085A17" w:rsidP="00085A17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EC64793" wp14:editId="77B4B3BB">
                <wp:simplePos x="0" y="0"/>
                <wp:positionH relativeFrom="page">
                  <wp:posOffset>5219701</wp:posOffset>
                </wp:positionH>
                <wp:positionV relativeFrom="paragraph">
                  <wp:posOffset>1506220</wp:posOffset>
                </wp:positionV>
                <wp:extent cx="1488440" cy="32321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Titulekobrzku0"/>
                              <w:spacing w:line="257" w:lineRule="auto"/>
                              <w:ind w:left="220" w:hanging="220"/>
                            </w:pPr>
                            <w:r>
                              <w:rPr>
                                <w:rStyle w:val="Titulekobrzku"/>
                              </w:rPr>
                              <w:t xml:space="preserve">oddělení AG severní Cechy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64793" id="Shape 31" o:spid="_x0000_s1028" type="#_x0000_t202" style="position:absolute;left:0;text-align:left;margin-left:411pt;margin-top:118.6pt;width:117.2pt;height:25.45pt;z-index:2516756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" filled="f" stroked="f">
                <v:textbox inset="0,0,0,0">
                  <w:txbxContent>
                    <w:p w:rsidR="00085A17" w:rsidRDefault="00085A17" w:rsidP="00085A17">
                      <w:pPr>
                        <w:pStyle w:val="Titulekobrzku0"/>
                        <w:spacing w:line="257" w:lineRule="auto"/>
                        <w:ind w:left="220" w:hanging="220"/>
                      </w:pPr>
                      <w:r>
                        <w:rPr>
                          <w:rStyle w:val="Titulekobrzku"/>
                        </w:rPr>
                        <w:t xml:space="preserve">oddělení AG severní Cechy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Nadpis4"/>
          <w:rFonts w:ascii="Calibri" w:eastAsia="Calibri" w:hAnsi="Calibri" w:cs="Calibri"/>
        </w:rPr>
        <w:t>V Liberci dne 22.</w:t>
      </w:r>
      <w:r>
        <w:rPr>
          <w:rStyle w:val="Nadpis4"/>
          <w:rFonts w:ascii="Calibri" w:eastAsia="Calibri" w:hAnsi="Calibri" w:cs="Calibri"/>
          <w:i/>
          <w:iCs/>
        </w:rPr>
        <w:t>9.2021</w:t>
      </w:r>
      <w:bookmarkEnd w:id="5"/>
    </w:p>
    <w:p w:rsidR="00085A17" w:rsidRDefault="00085A17" w:rsidP="0060394B">
      <w:pPr>
        <w:spacing w:line="1" w:lineRule="exact"/>
      </w:pPr>
      <w:r>
        <w:rPr>
          <w:noProof/>
        </w:rPr>
        <mc:AlternateContent>
          <mc:Choice Requires="wps">
            <w:drawing>
              <wp:anchor distT="511810" distB="692150" distL="0" distR="0" simplePos="0" relativeHeight="251664384" behindDoc="0" locked="0" layoutInCell="1" allowOverlap="1" wp14:anchorId="6A600B43" wp14:editId="019CECC6">
                <wp:simplePos x="0" y="0"/>
                <wp:positionH relativeFrom="page">
                  <wp:posOffset>4493260</wp:posOffset>
                </wp:positionH>
                <wp:positionV relativeFrom="paragraph">
                  <wp:posOffset>511810</wp:posOffset>
                </wp:positionV>
                <wp:extent cx="1027430" cy="48450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Jin0"/>
                              <w:spacing w:line="228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600B43" id="Shape 35" o:spid="_x0000_s1029" type="#_x0000_t202" style="position:absolute;margin-left:353.8pt;margin-top:40.3pt;width:80.9pt;height:38.15pt;z-index:251664384;visibility:visible;mso-wrap-style:square;mso-wrap-distance-left:0;mso-wrap-distance-top:40.3pt;mso-wrap-distance-right:0;mso-wrap-distance-bottom:5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" filled="f" stroked="f">
                <v:textbox inset="0,0,0,0">
                  <w:txbxContent>
                    <w:p w:rsidR="00085A17" w:rsidRDefault="00085A17" w:rsidP="00085A17">
                      <w:pPr>
                        <w:pStyle w:val="Jin0"/>
                        <w:spacing w:line="228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55650" distB="749935" distL="0" distR="0" simplePos="0" relativeHeight="251665408" behindDoc="0" locked="0" layoutInCell="1" allowOverlap="1" wp14:anchorId="7C341CD3" wp14:editId="7642D3FE">
                <wp:simplePos x="0" y="0"/>
                <wp:positionH relativeFrom="page">
                  <wp:posOffset>5627370</wp:posOffset>
                </wp:positionH>
                <wp:positionV relativeFrom="paragraph">
                  <wp:posOffset>755650</wp:posOffset>
                </wp:positionV>
                <wp:extent cx="1231265" cy="18288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zástupce pojistitele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341CD3" id="Shape 37" o:spid="_x0000_s1030" type="#_x0000_t202" style="position:absolute;margin-left:443.1pt;margin-top:59.5pt;width:96.95pt;height:14.4pt;z-index:251665408;visibility:visible;mso-wrap-style:none;mso-wrap-distance-left:0;mso-wrap-distance-top:59.5pt;mso-wrap-distance-right:0;mso-wrap-distance-bottom:59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" filled="f" stroked="f">
                <v:textbox inset="0,0,0,0">
                  <w:txbxContent>
                    <w:p w:rsidR="00085A17" w:rsidRDefault="00085A17" w:rsidP="00085A17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zástupce pojistitele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4255" distB="496570" distL="0" distR="0" simplePos="0" relativeHeight="251666432" behindDoc="0" locked="0" layoutInCell="1" allowOverlap="1" wp14:anchorId="7CCBC110" wp14:editId="2FBA8484">
                <wp:simplePos x="0" y="0"/>
                <wp:positionH relativeFrom="page">
                  <wp:posOffset>5566410</wp:posOffset>
                </wp:positionH>
                <wp:positionV relativeFrom="paragraph">
                  <wp:posOffset>1024255</wp:posOffset>
                </wp:positionV>
                <wp:extent cx="770890" cy="16764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Zkladntext1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CBC110" id="Shape 39" o:spid="_x0000_s1031" type="#_x0000_t202" style="position:absolute;margin-left:438.3pt;margin-top:80.65pt;width:60.7pt;height:13.2pt;z-index:251666432;visibility:visible;mso-wrap-style:none;mso-wrap-distance-left:0;mso-wrap-distance-top:80.65pt;mso-wrap-distance-right:0;mso-wrap-distance-bottom:3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" filled="f" stroked="f">
                <v:textbox inset="0,0,0,0">
                  <w:txbxContent>
                    <w:p w:rsidR="00085A17" w:rsidRDefault="00085A17" w:rsidP="00085A17">
                      <w:pPr>
                        <w:pStyle w:val="Zkladntext1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95070" distB="319405" distL="0" distR="0" simplePos="0" relativeHeight="251667456" behindDoc="0" locked="0" layoutInCell="1" allowOverlap="1" wp14:anchorId="217A7F9E" wp14:editId="737E84B2">
                <wp:simplePos x="0" y="0"/>
                <wp:positionH relativeFrom="page">
                  <wp:posOffset>5069205</wp:posOffset>
                </wp:positionH>
                <wp:positionV relativeFrom="paragraph">
                  <wp:posOffset>1195070</wp:posOffset>
                </wp:positionV>
                <wp:extent cx="328930" cy="17399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Zkladntext2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7A7F9E" id="Shape 41" o:spid="_x0000_s1032" type="#_x0000_t202" style="position:absolute;margin-left:399.15pt;margin-top:94.1pt;width:25.9pt;height:13.7pt;z-index:251667456;visibility:visible;mso-wrap-style:none;mso-wrap-distance-left:0;mso-wrap-distance-top:94.1pt;mso-wrap-distance-right:0;mso-wrap-distance-bottom:2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" filled="f" stroked="f">
                <v:textbox inset="0,0,0,0">
                  <w:txbxContent>
                    <w:p w:rsidR="00085A17" w:rsidRDefault="00085A17" w:rsidP="00085A17">
                      <w:pPr>
                        <w:pStyle w:val="Zkladntext20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t>xx</w:t>
      </w:r>
    </w:p>
    <w:sectPr w:rsidR="00085A17" w:rsidSect="0060394B">
      <w:headerReference w:type="default" r:id="rId8"/>
      <w:footerReference w:type="default" r:id="rId9"/>
      <w:pgSz w:w="11900" w:h="16840"/>
      <w:pgMar w:top="462" w:right="658" w:bottom="1152" w:left="69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17" w:rsidRDefault="00085A17">
      <w:r>
        <w:separator/>
      </w:r>
    </w:p>
  </w:endnote>
  <w:endnote w:type="continuationSeparator" w:id="0">
    <w:p w:rsidR="00085A17" w:rsidRDefault="000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17" w:rsidRDefault="00085A17">
      <w:r>
        <w:separator/>
      </w:r>
    </w:p>
  </w:footnote>
  <w:footnote w:type="continuationSeparator" w:id="0">
    <w:p w:rsidR="00085A17" w:rsidRDefault="0008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6F8"/>
    <w:multiLevelType w:val="multilevel"/>
    <w:tmpl w:val="5874C9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E0DB8"/>
    <w:multiLevelType w:val="hybridMultilevel"/>
    <w:tmpl w:val="1D3A9922"/>
    <w:numStyleLink w:val="sla0"/>
  </w:abstractNum>
  <w:abstractNum w:abstractNumId="2" w15:restartNumberingAfterBreak="0">
    <w:nsid w:val="10DE4243"/>
    <w:multiLevelType w:val="multilevel"/>
    <w:tmpl w:val="7ED676B8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15919"/>
    <w:multiLevelType w:val="multilevel"/>
    <w:tmpl w:val="D36E99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84754"/>
    <w:multiLevelType w:val="multilevel"/>
    <w:tmpl w:val="3AEA6C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D0A09"/>
    <w:multiLevelType w:val="hybridMultilevel"/>
    <w:tmpl w:val="6960FD06"/>
    <w:numStyleLink w:val="Psmena"/>
  </w:abstractNum>
  <w:abstractNum w:abstractNumId="6" w15:restartNumberingAfterBreak="0">
    <w:nsid w:val="1DA630AE"/>
    <w:multiLevelType w:val="multilevel"/>
    <w:tmpl w:val="8D2C44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66A43"/>
    <w:multiLevelType w:val="multilevel"/>
    <w:tmpl w:val="ACD4E6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8395E"/>
    <w:multiLevelType w:val="multilevel"/>
    <w:tmpl w:val="20BAEB14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D60A35"/>
    <w:multiLevelType w:val="hybridMultilevel"/>
    <w:tmpl w:val="93047A30"/>
    <w:styleLink w:val="sla"/>
    <w:lvl w:ilvl="0" w:tplc="E0A842F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091D8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2121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88A3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EF69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E2AB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A4A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2393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8B04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8914C3"/>
    <w:multiLevelType w:val="hybridMultilevel"/>
    <w:tmpl w:val="6960FD06"/>
    <w:styleLink w:val="Psmena"/>
    <w:lvl w:ilvl="0" w:tplc="67A22A8E">
      <w:start w:val="1"/>
      <w:numFmt w:val="upperLetter"/>
      <w:lvlText w:val="%1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4130A">
      <w:start w:val="1"/>
      <w:numFmt w:val="lowerLetter"/>
      <w:lvlText w:val="%2)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C30FE">
      <w:start w:val="1"/>
      <w:numFmt w:val="upperLetter"/>
      <w:lvlText w:val="%3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8669A">
      <w:start w:val="1"/>
      <w:numFmt w:val="upperLetter"/>
      <w:lvlText w:val="%4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21ED8">
      <w:start w:val="1"/>
      <w:numFmt w:val="upperLetter"/>
      <w:lvlText w:val="%5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EF848">
      <w:start w:val="1"/>
      <w:numFmt w:val="upperLetter"/>
      <w:lvlText w:val="%6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20630A">
      <w:start w:val="1"/>
      <w:numFmt w:val="upperLetter"/>
      <w:lvlText w:val="%7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DEF2B2">
      <w:start w:val="1"/>
      <w:numFmt w:val="upperLetter"/>
      <w:lvlText w:val="%8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AA58A">
      <w:start w:val="1"/>
      <w:numFmt w:val="upperLetter"/>
      <w:lvlText w:val="%9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862905"/>
    <w:multiLevelType w:val="multilevel"/>
    <w:tmpl w:val="D7EC27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949D7"/>
    <w:multiLevelType w:val="multilevel"/>
    <w:tmpl w:val="112895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A754AB"/>
    <w:multiLevelType w:val="multilevel"/>
    <w:tmpl w:val="D8FAAE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8E1350"/>
    <w:multiLevelType w:val="hybridMultilevel"/>
    <w:tmpl w:val="1D3A9922"/>
    <w:styleLink w:val="sla0"/>
    <w:lvl w:ilvl="0" w:tplc="5212F4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485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CB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9E56A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68F2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8C5A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56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ABF9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C545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B0656B"/>
    <w:multiLevelType w:val="multilevel"/>
    <w:tmpl w:val="0AE2D8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6B073B"/>
    <w:multiLevelType w:val="multilevel"/>
    <w:tmpl w:val="36FA8E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E61247"/>
    <w:multiLevelType w:val="multilevel"/>
    <w:tmpl w:val="DFE615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C63B3"/>
    <w:multiLevelType w:val="hybridMultilevel"/>
    <w:tmpl w:val="93047A30"/>
    <w:numStyleLink w:val="sla"/>
  </w:abstractNum>
  <w:abstractNum w:abstractNumId="19" w15:restartNumberingAfterBreak="0">
    <w:nsid w:val="630E6E8C"/>
    <w:multiLevelType w:val="multilevel"/>
    <w:tmpl w:val="843428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593D0B"/>
    <w:multiLevelType w:val="multilevel"/>
    <w:tmpl w:val="0F1CED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72518"/>
    <w:multiLevelType w:val="multilevel"/>
    <w:tmpl w:val="672ED9E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3A159F"/>
    <w:multiLevelType w:val="multilevel"/>
    <w:tmpl w:val="38047B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C232A"/>
    <w:multiLevelType w:val="multilevel"/>
    <w:tmpl w:val="64DE0A4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E50636"/>
    <w:multiLevelType w:val="multilevel"/>
    <w:tmpl w:val="C91AA4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E2667"/>
    <w:multiLevelType w:val="multilevel"/>
    <w:tmpl w:val="11B83C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6F11A2"/>
    <w:multiLevelType w:val="multilevel"/>
    <w:tmpl w:val="49EA08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9D4E59"/>
    <w:multiLevelType w:val="multilevel"/>
    <w:tmpl w:val="0066BA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B8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3C0CB7"/>
    <w:multiLevelType w:val="multilevel"/>
    <w:tmpl w:val="0C8CC9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5"/>
  </w:num>
  <w:num w:numId="5">
    <w:abstractNumId w:val="5"/>
    <w:lvlOverride w:ilvl="0">
      <w:lvl w:ilvl="0" w:tplc="E42C1F98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185AFE">
        <w:start w:val="1"/>
        <w:numFmt w:val="lowerLetter"/>
        <w:lvlText w:val="%2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80DB84">
        <w:start w:val="1"/>
        <w:numFmt w:val="upperLetter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4E3F50">
        <w:start w:val="1"/>
        <w:numFmt w:val="upperLetter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F8793E">
        <w:start w:val="1"/>
        <w:numFmt w:val="upperLetter"/>
        <w:lvlText w:val="%5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FCFD84">
        <w:start w:val="1"/>
        <w:numFmt w:val="upperLetter"/>
        <w:lvlText w:val="%6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18F322">
        <w:start w:val="1"/>
        <w:numFmt w:val="upperLetter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221F64">
        <w:start w:val="1"/>
        <w:numFmt w:val="upperLetter"/>
        <w:lvlText w:val="%8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98FE16">
        <w:start w:val="1"/>
        <w:numFmt w:val="upperLetter"/>
        <w:lvlText w:val="%9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8"/>
    <w:lvlOverride w:ilvl="0">
      <w:startOverride w:val="2"/>
    </w:lvlOverride>
  </w:num>
  <w:num w:numId="7">
    <w:abstractNumId w:val="18"/>
    <w:lvlOverride w:ilvl="0">
      <w:lvl w:ilvl="0" w:tplc="CD888D24">
        <w:start w:val="1"/>
        <w:numFmt w:val="decimal"/>
        <w:lvlText w:val="%1."/>
        <w:lvlJc w:val="left"/>
        <w:pPr>
          <w:tabs>
            <w:tab w:val="num" w:pos="19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3475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206BEC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143994">
        <w:start w:val="1"/>
        <w:numFmt w:val="decimal"/>
        <w:lvlText w:val="%4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C835F6">
        <w:start w:val="1"/>
        <w:numFmt w:val="decimal"/>
        <w:suff w:val="nothing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2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F27C52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D6B21A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CA604A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326A12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1"/>
  </w:num>
  <w:num w:numId="10">
    <w:abstractNumId w:val="5"/>
    <w:lvlOverride w:ilvl="0">
      <w:startOverride w:val="1"/>
      <w:lvl w:ilvl="0" w:tplc="E42C1F98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185AFE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80DB84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E3F50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F8793E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FCFD84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18F322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221F64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98FE16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8"/>
    <w:lvlOverride w:ilvl="0">
      <w:startOverride w:val="1"/>
      <w:lvl w:ilvl="0" w:tplc="CD888D2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06BEC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startOverride w:val="1"/>
      <w:lvl w:ilvl="0" w:tplc="E42C1F98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185AFE">
        <w:start w:val="1"/>
        <w:numFmt w:val="lowerLetter"/>
        <w:lvlText w:val="%2)"/>
        <w:lvlJc w:val="left"/>
        <w:pPr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80DB84">
        <w:start w:val="1"/>
        <w:numFmt w:val="upperLetter"/>
        <w:lvlText w:val="%3."/>
        <w:lvlJc w:val="left"/>
        <w:pPr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E3F50">
        <w:start w:val="1"/>
        <w:numFmt w:val="upperLetter"/>
        <w:lvlText w:val="%4."/>
        <w:lvlJc w:val="left"/>
        <w:pPr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F8793E">
        <w:start w:val="1"/>
        <w:numFmt w:val="upperLetter"/>
        <w:lvlText w:val="%5."/>
        <w:lvlJc w:val="left"/>
        <w:pPr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FCFD84">
        <w:start w:val="1"/>
        <w:numFmt w:val="upperLetter"/>
        <w:lvlText w:val="%6."/>
        <w:lvlJc w:val="left"/>
        <w:pPr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18F322">
        <w:start w:val="1"/>
        <w:numFmt w:val="upperLetter"/>
        <w:lvlText w:val="%7."/>
        <w:lvlJc w:val="left"/>
        <w:pPr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221F64">
        <w:start w:val="1"/>
        <w:numFmt w:val="upperLetter"/>
        <w:lvlText w:val="%8."/>
        <w:lvlJc w:val="left"/>
        <w:pPr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98FE16">
        <w:start w:val="1"/>
        <w:numFmt w:val="upperLetter"/>
        <w:lvlText w:val="%9."/>
        <w:lvlJc w:val="left"/>
        <w:pPr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8"/>
    <w:lvlOverride w:ilvl="0">
      <w:startOverride w:val="1"/>
      <w:lvl w:ilvl="0" w:tplc="CD888D2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06BEC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  <w:lvlOverride w:ilvl="0">
      <w:startOverride w:val="1"/>
      <w:lvl w:ilvl="0" w:tplc="CD888D2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06BEC">
        <w:start w:val="1"/>
        <w:numFmt w:val="decimal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8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7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7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78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78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8"/>
    <w:lvlOverride w:ilvl="0">
      <w:startOverride w:val="1"/>
      <w:lvl w:ilvl="0" w:tplc="CD888D2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06BEC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  <w:lvlOverride w:ilvl="0">
      <w:startOverride w:val="1"/>
      <w:lvl w:ilvl="0" w:tplc="CD888D24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06BE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  <w:lvlOverride w:ilvl="0">
      <w:startOverride w:val="1"/>
      <w:lvl w:ilvl="0" w:tplc="E42C1F98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185AFE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80DB84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E3F50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F8793E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FCFD84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18F322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221F64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98FE16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  <w:lvlOverride w:ilvl="0">
      <w:startOverride w:val="1"/>
      <w:lvl w:ilvl="0" w:tplc="CD888D2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A8206BEC">
        <w:start w:val="3"/>
        <w:numFmt w:val="decimal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suff w:val="nothing"/>
        <w:lvlText w:val="%9."/>
        <w:lvlJc w:val="left"/>
        <w:pPr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  <w:lvlOverride w:ilvl="0">
      <w:startOverride w:val="5"/>
      <w:lvl w:ilvl="0" w:tplc="CD888D24">
        <w:start w:val="5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06BE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8"/>
    <w:lvlOverride w:ilvl="0">
      <w:startOverride w:val="1"/>
      <w:lvl w:ilvl="0" w:tplc="CD888D2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4754E">
        <w:start w:val="1"/>
        <w:numFmt w:val="decimal"/>
        <w:lvlText w:val="%2."/>
        <w:lvlJc w:val="left"/>
        <w:pPr>
          <w:ind w:left="1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206BEC">
        <w:start w:val="1"/>
        <w:numFmt w:val="decimal"/>
        <w:lvlText w:val="%3."/>
        <w:lvlJc w:val="left"/>
        <w:pPr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143994">
        <w:start w:val="1"/>
        <w:numFmt w:val="decimal"/>
        <w:lvlText w:val="%4."/>
        <w:lvlJc w:val="left"/>
        <w:pPr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C835F6">
        <w:start w:val="1"/>
        <w:numFmt w:val="decimal"/>
        <w:lvlText w:val="%5."/>
        <w:lvlJc w:val="left"/>
        <w:pPr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F27C52">
        <w:start w:val="1"/>
        <w:numFmt w:val="decimal"/>
        <w:lvlText w:val="%6."/>
        <w:lvlJc w:val="left"/>
        <w:pPr>
          <w:ind w:left="4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D6B21A">
        <w:start w:val="1"/>
        <w:numFmt w:val="decimal"/>
        <w:lvlText w:val="%7."/>
        <w:lvlJc w:val="left"/>
        <w:pPr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CA604A">
        <w:start w:val="1"/>
        <w:numFmt w:val="decimal"/>
        <w:lvlText w:val="%8."/>
        <w:lvlJc w:val="left"/>
        <w:pPr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326A12">
        <w:start w:val="1"/>
        <w:numFmt w:val="decimal"/>
        <w:lvlText w:val="%9."/>
        <w:lvlJc w:val="left"/>
        <w:pPr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8"/>
    <w:lvlOverride w:ilvl="0">
      <w:lvl w:ilvl="0" w:tplc="CD888D24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34754E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206BEC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143994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C835F6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F27C52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D6B21A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CA604A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326A12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1"/>
  </w:num>
  <w:num w:numId="23">
    <w:abstractNumId w:val="4"/>
  </w:num>
  <w:num w:numId="24">
    <w:abstractNumId w:val="19"/>
  </w:num>
  <w:num w:numId="25">
    <w:abstractNumId w:val="7"/>
  </w:num>
  <w:num w:numId="26">
    <w:abstractNumId w:val="24"/>
  </w:num>
  <w:num w:numId="27">
    <w:abstractNumId w:val="28"/>
  </w:num>
  <w:num w:numId="28">
    <w:abstractNumId w:val="11"/>
  </w:num>
  <w:num w:numId="29">
    <w:abstractNumId w:val="20"/>
  </w:num>
  <w:num w:numId="30">
    <w:abstractNumId w:val="23"/>
  </w:num>
  <w:num w:numId="31">
    <w:abstractNumId w:val="15"/>
  </w:num>
  <w:num w:numId="32">
    <w:abstractNumId w:val="16"/>
  </w:num>
  <w:num w:numId="33">
    <w:abstractNumId w:val="13"/>
  </w:num>
  <w:num w:numId="34">
    <w:abstractNumId w:val="2"/>
  </w:num>
  <w:num w:numId="35">
    <w:abstractNumId w:val="26"/>
  </w:num>
  <w:num w:numId="36">
    <w:abstractNumId w:val="8"/>
  </w:num>
  <w:num w:numId="37">
    <w:abstractNumId w:val="22"/>
  </w:num>
  <w:num w:numId="38">
    <w:abstractNumId w:val="3"/>
  </w:num>
  <w:num w:numId="39">
    <w:abstractNumId w:val="27"/>
  </w:num>
  <w:num w:numId="40">
    <w:abstractNumId w:val="6"/>
  </w:num>
  <w:num w:numId="41">
    <w:abstractNumId w:val="17"/>
  </w:num>
  <w:num w:numId="42">
    <w:abstractNumId w:val="0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99"/>
    <w:rsid w:val="00085A17"/>
    <w:rsid w:val="001D6E20"/>
    <w:rsid w:val="00307E99"/>
    <w:rsid w:val="006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C4070-3B68-4384-ADDE-01C5434C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la0">
    <w:name w:val="Čísla.0"/>
    <w:pPr>
      <w:numPr>
        <w:numId w:val="8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Zkladntext2">
    <w:name w:val="Základní text (2)_"/>
    <w:basedOn w:val="Standardnpsmoodstavce"/>
    <w:link w:val="Zkladntext20"/>
    <w:rsid w:val="00085A17"/>
    <w:rPr>
      <w:rFonts w:ascii="Arial" w:eastAsia="Arial" w:hAnsi="Arial" w:cs="Arial"/>
    </w:rPr>
  </w:style>
  <w:style w:type="character" w:customStyle="1" w:styleId="Nadpis4">
    <w:name w:val="Nadpis #4_"/>
    <w:basedOn w:val="Standardnpsmoodstavce"/>
    <w:link w:val="Nadpis40"/>
    <w:rsid w:val="00085A17"/>
    <w:rPr>
      <w:rFonts w:ascii="Arial" w:eastAsia="Arial" w:hAnsi="Arial" w:cs="Arial"/>
      <w:b/>
      <w:bCs/>
      <w:sz w:val="22"/>
      <w:szCs w:val="22"/>
    </w:rPr>
  </w:style>
  <w:style w:type="character" w:customStyle="1" w:styleId="Jin">
    <w:name w:val="Jiné_"/>
    <w:basedOn w:val="Standardnpsmoodstavce"/>
    <w:link w:val="Jin0"/>
    <w:rsid w:val="00085A17"/>
    <w:rPr>
      <w:rFonts w:ascii="Calibri" w:eastAsia="Calibri" w:hAnsi="Calibri" w:cs="Calibri"/>
      <w:sz w:val="22"/>
      <w:szCs w:val="22"/>
    </w:rPr>
  </w:style>
  <w:style w:type="character" w:customStyle="1" w:styleId="Nadpis3">
    <w:name w:val="Nadpis #3_"/>
    <w:basedOn w:val="Standardnpsmoodstavce"/>
    <w:link w:val="Nadpis30"/>
    <w:rsid w:val="00085A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085A17"/>
    <w:rPr>
      <w:rFonts w:ascii="Arial" w:eastAsia="Arial" w:hAnsi="Arial" w:cs="Arial"/>
      <w:b/>
      <w:bCs/>
    </w:rPr>
  </w:style>
  <w:style w:type="character" w:customStyle="1" w:styleId="Titulektabulky">
    <w:name w:val="Titulek tabulky_"/>
    <w:basedOn w:val="Standardnpsmoodstavce"/>
    <w:link w:val="Titulektabulky0"/>
    <w:rsid w:val="00085A17"/>
    <w:rPr>
      <w:rFonts w:ascii="Arial" w:eastAsia="Arial" w:hAnsi="Arial" w:cs="Arial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sid w:val="00085A17"/>
    <w:rPr>
      <w:rFonts w:ascii="Calibri" w:eastAsia="Calibri" w:hAnsi="Calibri" w:cs="Calibri"/>
      <w:sz w:val="22"/>
      <w:szCs w:val="22"/>
    </w:rPr>
  </w:style>
  <w:style w:type="character" w:customStyle="1" w:styleId="Zhlavnebozpat2">
    <w:name w:val="Záhlaví nebo zápatí (2)_"/>
    <w:basedOn w:val="Standardnpsmoodstavce"/>
    <w:link w:val="Zhlavnebozpat20"/>
    <w:rsid w:val="00085A17"/>
    <w:rPr>
      <w:rFonts w:eastAsia="Times New Roman"/>
    </w:rPr>
  </w:style>
  <w:style w:type="character" w:customStyle="1" w:styleId="Titulekobrzku">
    <w:name w:val="Titulek obrázku_"/>
    <w:basedOn w:val="Standardnpsmoodstavce"/>
    <w:link w:val="Titulekobrzku0"/>
    <w:rsid w:val="00085A17"/>
    <w:rPr>
      <w:rFonts w:ascii="Arial" w:eastAsia="Arial" w:hAnsi="Arial" w:cs="Arial"/>
      <w:b/>
      <w:bCs/>
    </w:rPr>
  </w:style>
  <w:style w:type="character" w:customStyle="1" w:styleId="Nadpis2">
    <w:name w:val="Nadpis #2_"/>
    <w:basedOn w:val="Standardnpsmoodstavce"/>
    <w:link w:val="Nadpis20"/>
    <w:rsid w:val="00085A17"/>
    <w:rPr>
      <w:rFonts w:ascii="Arial" w:eastAsia="Arial" w:hAnsi="Arial" w:cs="Arial"/>
      <w:b/>
      <w:bCs/>
      <w:sz w:val="26"/>
      <w:szCs w:val="26"/>
    </w:rPr>
  </w:style>
  <w:style w:type="character" w:customStyle="1" w:styleId="Zkladntext3">
    <w:name w:val="Základní text (3)_"/>
    <w:basedOn w:val="Standardnpsmoodstavce"/>
    <w:link w:val="Zkladntext30"/>
    <w:rsid w:val="00085A17"/>
    <w:rPr>
      <w:rFonts w:ascii="Arial" w:eastAsia="Arial" w:hAnsi="Arial" w:cs="Arial"/>
      <w:sz w:val="16"/>
      <w:szCs w:val="16"/>
    </w:rPr>
  </w:style>
  <w:style w:type="character" w:customStyle="1" w:styleId="Nadpis5">
    <w:name w:val="Nadpis #5_"/>
    <w:basedOn w:val="Standardnpsmoodstavce"/>
    <w:link w:val="Nadpis50"/>
    <w:rsid w:val="00085A17"/>
    <w:rPr>
      <w:rFonts w:ascii="Arial" w:eastAsia="Arial" w:hAnsi="Arial" w:cs="Arial"/>
      <w:b/>
      <w:bCs/>
      <w:color w:val="6B6B84"/>
    </w:rPr>
  </w:style>
  <w:style w:type="character" w:customStyle="1" w:styleId="Zkladntext4">
    <w:name w:val="Základní text (4)_"/>
    <w:basedOn w:val="Standardnpsmoodstavce"/>
    <w:link w:val="Zkladntext40"/>
    <w:rsid w:val="00085A17"/>
    <w:rPr>
      <w:rFonts w:ascii="Arial" w:eastAsia="Arial" w:hAnsi="Arial" w:cs="Arial"/>
      <w:sz w:val="18"/>
      <w:szCs w:val="18"/>
    </w:rPr>
  </w:style>
  <w:style w:type="character" w:customStyle="1" w:styleId="Obsah">
    <w:name w:val="Obsah_"/>
    <w:basedOn w:val="Standardnpsmoodstavce"/>
    <w:link w:val="Obsah0"/>
    <w:rsid w:val="00085A17"/>
    <w:rPr>
      <w:rFonts w:ascii="Arial" w:eastAsia="Arial" w:hAnsi="Arial" w:cs="Arial"/>
      <w:b/>
      <w:bCs/>
      <w:color w:val="FF0000"/>
    </w:rPr>
  </w:style>
  <w:style w:type="paragraph" w:customStyle="1" w:styleId="Zkladntext20">
    <w:name w:val="Základní text (2)"/>
    <w:basedOn w:val="Normln"/>
    <w:link w:val="Zkladntex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62" w:lineRule="auto"/>
    </w:pPr>
    <w:rPr>
      <w:rFonts w:ascii="Arial" w:eastAsia="Arial" w:hAnsi="Arial" w:cs="Arial"/>
      <w:color w:val="auto"/>
      <w:sz w:val="20"/>
      <w:szCs w:val="20"/>
      <w:lang w:val="cs-CZ"/>
    </w:rPr>
  </w:style>
  <w:style w:type="paragraph" w:customStyle="1" w:styleId="Nadpis40">
    <w:name w:val="Nadpis #4"/>
    <w:basedOn w:val="Normln"/>
    <w:link w:val="Nadpis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outlineLvl w:val="3"/>
    </w:pPr>
    <w:rPr>
      <w:rFonts w:ascii="Arial" w:eastAsia="Arial" w:hAnsi="Arial" w:cs="Arial"/>
      <w:b/>
      <w:bCs/>
      <w:color w:val="auto"/>
      <w:sz w:val="22"/>
      <w:szCs w:val="22"/>
      <w:lang w:val="cs-CZ"/>
    </w:rPr>
  </w:style>
  <w:style w:type="paragraph" w:customStyle="1" w:styleId="Jin0">
    <w:name w:val="Jiné"/>
    <w:basedOn w:val="Normln"/>
    <w:link w:val="Jin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Nadpis30">
    <w:name w:val="Nadpis #3"/>
    <w:basedOn w:val="Normln"/>
    <w:link w:val="Nadpis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jc w:val="center"/>
      <w:outlineLvl w:val="2"/>
    </w:pPr>
    <w:rPr>
      <w:rFonts w:ascii="Arial" w:eastAsia="Arial" w:hAnsi="Arial" w:cs="Arial"/>
      <w:b/>
      <w:bCs/>
      <w:i/>
      <w:iCs/>
      <w:color w:val="auto"/>
      <w:sz w:val="22"/>
      <w:szCs w:val="22"/>
      <w:lang w:val="cs-CZ"/>
    </w:rPr>
  </w:style>
  <w:style w:type="paragraph" w:customStyle="1" w:styleId="Nadpis10">
    <w:name w:val="Nadpis #1"/>
    <w:basedOn w:val="Normln"/>
    <w:link w:val="Nadpis1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Titulektabulky0">
    <w:name w:val="Titulek tabulky"/>
    <w:basedOn w:val="Normln"/>
    <w:link w:val="Titulektabulky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4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Zkladntext1">
    <w:name w:val="Základní text1"/>
    <w:basedOn w:val="Normln"/>
    <w:link w:val="Zkladntext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Zhlavnebozpat20">
    <w:name w:val="Záhlaví nebo zápatí (2)"/>
    <w:basedOn w:val="Normln"/>
    <w:link w:val="Zhlavnebozpa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lang w:val="cs-CZ"/>
    </w:rPr>
  </w:style>
  <w:style w:type="paragraph" w:customStyle="1" w:styleId="Titulekobrzku0">
    <w:name w:val="Titulek obrázku"/>
    <w:basedOn w:val="Normln"/>
    <w:link w:val="Titulekobrzku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Nadpis20">
    <w:name w:val="Nadpis #2"/>
    <w:basedOn w:val="Normln"/>
    <w:link w:val="Nadpis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ind w:left="1480"/>
      <w:outlineLvl w:val="1"/>
    </w:pPr>
    <w:rPr>
      <w:rFonts w:ascii="Arial" w:eastAsia="Arial" w:hAnsi="Arial" w:cs="Arial"/>
      <w:b/>
      <w:bCs/>
      <w:color w:val="auto"/>
      <w:sz w:val="26"/>
      <w:szCs w:val="26"/>
      <w:lang w:val="cs-CZ"/>
    </w:rPr>
  </w:style>
  <w:style w:type="paragraph" w:customStyle="1" w:styleId="Zkladntext30">
    <w:name w:val="Základní text (3)"/>
    <w:basedOn w:val="Normln"/>
    <w:link w:val="Zkladntext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95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Nadpis50">
    <w:name w:val="Nadpis #5"/>
    <w:basedOn w:val="Normln"/>
    <w:link w:val="Nadpis5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76" w:lineRule="auto"/>
      <w:outlineLvl w:val="4"/>
    </w:pPr>
    <w:rPr>
      <w:rFonts w:ascii="Arial" w:eastAsia="Arial" w:hAnsi="Arial" w:cs="Arial"/>
      <w:b/>
      <w:bCs/>
      <w:color w:val="6B6B84"/>
      <w:sz w:val="20"/>
      <w:szCs w:val="20"/>
      <w:lang w:val="cs-CZ"/>
    </w:rPr>
  </w:style>
  <w:style w:type="paragraph" w:customStyle="1" w:styleId="Zkladntext40">
    <w:name w:val="Základní text (4)"/>
    <w:basedOn w:val="Normln"/>
    <w:link w:val="Zkladntext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33" w:lineRule="auto"/>
    </w:pPr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Obsah0">
    <w:name w:val="Obsah"/>
    <w:basedOn w:val="Normln"/>
    <w:link w:val="Obsah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580" w:firstLine="20"/>
    </w:pPr>
    <w:rPr>
      <w:rFonts w:ascii="Arial" w:eastAsia="Arial" w:hAnsi="Arial" w:cs="Arial"/>
      <w:b/>
      <w:bCs/>
      <w:color w:val="FF000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  <w:style w:type="paragraph" w:styleId="Zpat">
    <w:name w:val="footer"/>
    <w:basedOn w:val="Normln"/>
    <w:link w:val="Zpat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Matějková</dc:creator>
  <cp:lastModifiedBy>Veronika Matějková</cp:lastModifiedBy>
  <cp:revision>2</cp:revision>
  <dcterms:created xsi:type="dcterms:W3CDTF">2025-05-06T08:31:00Z</dcterms:created>
  <dcterms:modified xsi:type="dcterms:W3CDTF">2025-05-06T08:31:00Z</dcterms:modified>
</cp:coreProperties>
</file>