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7221300531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Korytná</w:t>
      </w:r>
    </w:p>
    <w:p>
      <w:pPr>
        <w:pStyle w:val="BodyText"/>
        <w:tabs>
          <w:tab w:pos="2982" w:val="left" w:leader="none"/>
        </w:tabs>
        <w:ind w:left="102" w:right="1823"/>
      </w:pPr>
      <w:r>
        <w:rPr/>
        <w:t>kontaktní adresa:</w:t>
        <w:tab/>
        <w:t>Obecní</w:t>
      </w:r>
      <w:r>
        <w:rPr>
          <w:spacing w:val="-6"/>
        </w:rPr>
        <w:t> </w:t>
      </w:r>
      <w:r>
        <w:rPr/>
        <w:t>úřad</w:t>
      </w:r>
      <w:r>
        <w:rPr>
          <w:spacing w:val="-6"/>
        </w:rPr>
        <w:t> </w:t>
      </w:r>
      <w:r>
        <w:rPr/>
        <w:t>Korytná,</w:t>
      </w:r>
      <w:r>
        <w:rPr>
          <w:spacing w:val="-6"/>
        </w:rPr>
        <w:t> </w:t>
      </w:r>
      <w:r>
        <w:rPr/>
        <w:t>Korytná</w:t>
      </w:r>
      <w:r>
        <w:rPr>
          <w:spacing w:val="-4"/>
        </w:rPr>
        <w:t> </w:t>
      </w:r>
      <w:r>
        <w:rPr/>
        <w:t>č.</w:t>
      </w:r>
      <w:r>
        <w:rPr>
          <w:spacing w:val="-5"/>
        </w:rPr>
        <w:t> </w:t>
      </w:r>
      <w:r>
        <w:rPr/>
        <w:t>p.</w:t>
      </w:r>
      <w:r>
        <w:rPr>
          <w:spacing w:val="-5"/>
        </w:rPr>
        <w:t> </w:t>
      </w:r>
      <w:r>
        <w:rPr/>
        <w:t>297,</w:t>
      </w:r>
      <w:r>
        <w:rPr>
          <w:spacing w:val="-6"/>
        </w:rPr>
        <w:t> </w:t>
      </w:r>
      <w:r>
        <w:rPr/>
        <w:t>687</w:t>
      </w:r>
      <w:r>
        <w:rPr>
          <w:spacing w:val="-3"/>
        </w:rPr>
        <w:t> </w:t>
      </w:r>
      <w:r>
        <w:rPr/>
        <w:t>52</w:t>
      </w:r>
      <w:r>
        <w:rPr>
          <w:spacing w:val="-5"/>
        </w:rPr>
        <w:t> </w:t>
      </w:r>
      <w:r>
        <w:rPr/>
        <w:t>Korytná </w:t>
      </w:r>
      <w:r>
        <w:rPr>
          <w:spacing w:val="-4"/>
        </w:rPr>
        <w:t>IČO:</w:t>
      </w:r>
      <w:r>
        <w:rPr/>
        <w:tab/>
      </w:r>
      <w:r>
        <w:rPr>
          <w:spacing w:val="-2"/>
        </w:rPr>
        <w:t>00291030</w:t>
      </w:r>
    </w:p>
    <w:p>
      <w:pPr>
        <w:pStyle w:val="BodyText"/>
        <w:tabs>
          <w:tab w:pos="2982" w:val="left" w:leader="none"/>
        </w:tabs>
        <w:spacing w:line="265" w:lineRule="exact"/>
        <w:ind w:left="102"/>
      </w:pPr>
      <w:r>
        <w:rPr>
          <w:spacing w:val="-2"/>
        </w:rPr>
        <w:t>zastoupená:</w:t>
      </w:r>
      <w:r>
        <w:rPr/>
        <w:tab/>
        <w:t>Josefem</w:t>
      </w:r>
      <w:r>
        <w:rPr>
          <w:spacing w:val="-5"/>
        </w:rPr>
        <w:t> </w:t>
      </w:r>
      <w:r>
        <w:rPr/>
        <w:t>K</w:t>
      </w:r>
      <w:r>
        <w:rPr>
          <w:spacing w:val="-2"/>
        </w:rPr>
        <w:t> </w:t>
      </w:r>
      <w:r>
        <w:rPr/>
        <w:t>l</w:t>
      </w:r>
      <w:r>
        <w:rPr>
          <w:spacing w:val="-3"/>
        </w:rPr>
        <w:t> </w:t>
      </w:r>
      <w:r>
        <w:rPr/>
        <w:t>o</w:t>
      </w:r>
      <w:r>
        <w:rPr>
          <w:spacing w:val="-2"/>
        </w:rPr>
        <w:t> </w:t>
      </w:r>
      <w:r>
        <w:rPr/>
        <w:t>n</w:t>
      </w:r>
      <w:r>
        <w:rPr>
          <w:spacing w:val="-3"/>
        </w:rPr>
        <w:t> </w:t>
      </w:r>
      <w:r>
        <w:rPr/>
        <w:t>e</w:t>
      </w:r>
      <w:r>
        <w:rPr>
          <w:spacing w:val="-1"/>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94-3113721/0710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right="2305"/>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7221300531 o poskytnutí finančních prostředků ze Státního fondu životního prostředí ČR ze dne 23. 11. 2023 a změny č. 1 Rozhodnutí ministra životního prostředí č. 7221300531 o poskytnutí finančních prostředků ze Státního fondu životního prostředí ČR ze dne 27. 2.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1"/>
        <w:spacing w:before="120"/>
        <w:ind w:right="2305"/>
      </w:pPr>
      <w:r>
        <w:rPr/>
        <w:t>„REALIZACE</w:t>
      </w:r>
      <w:r>
        <w:rPr>
          <w:spacing w:val="-7"/>
        </w:rPr>
        <w:t> </w:t>
      </w:r>
      <w:r>
        <w:rPr/>
        <w:t>FVE</w:t>
      </w:r>
      <w:r>
        <w:rPr>
          <w:spacing w:val="-5"/>
        </w:rPr>
        <w:t> </w:t>
      </w:r>
      <w:r>
        <w:rPr/>
        <w:t>V</w:t>
      </w:r>
      <w:r>
        <w:rPr>
          <w:spacing w:val="-7"/>
        </w:rPr>
        <w:t> </w:t>
      </w:r>
      <w:r>
        <w:rPr/>
        <w:t>OBCI</w:t>
      </w:r>
      <w:r>
        <w:rPr>
          <w:spacing w:val="-6"/>
        </w:rPr>
        <w:t> </w:t>
      </w:r>
      <w:r>
        <w:rPr>
          <w:spacing w:val="-2"/>
        </w:rPr>
        <w:t>KORYTNÁ“</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7"/>
          <w:sz w:val="20"/>
        </w:rPr>
        <w:t> </w:t>
      </w:r>
      <w:r>
        <w:rPr>
          <w:sz w:val="20"/>
        </w:rPr>
        <w:t>dotace</w:t>
      </w:r>
      <w:r>
        <w:rPr>
          <w:spacing w:val="-8"/>
          <w:sz w:val="20"/>
        </w:rPr>
        <w:t> </w:t>
      </w:r>
      <w:r>
        <w:rPr>
          <w:sz w:val="20"/>
        </w:rPr>
        <w:t>ve</w:t>
      </w:r>
      <w:r>
        <w:rPr>
          <w:spacing w:val="-7"/>
          <w:sz w:val="20"/>
        </w:rPr>
        <w:t> </w:t>
      </w:r>
      <w:r>
        <w:rPr>
          <w:sz w:val="20"/>
        </w:rPr>
        <w:t>výši</w:t>
      </w:r>
      <w:r>
        <w:rPr>
          <w:spacing w:val="-4"/>
          <w:sz w:val="20"/>
        </w:rPr>
        <w:t> </w:t>
      </w:r>
      <w:r>
        <w:rPr>
          <w:b/>
          <w:sz w:val="20"/>
        </w:rPr>
        <w:t>1</w:t>
      </w:r>
      <w:r>
        <w:rPr>
          <w:b/>
          <w:spacing w:val="-1"/>
          <w:sz w:val="20"/>
        </w:rPr>
        <w:t> </w:t>
      </w:r>
      <w:r>
        <w:rPr>
          <w:b/>
          <w:sz w:val="20"/>
        </w:rPr>
        <w:t>287</w:t>
      </w:r>
      <w:r>
        <w:rPr>
          <w:b/>
          <w:spacing w:val="-2"/>
          <w:sz w:val="20"/>
        </w:rPr>
        <w:t> </w:t>
      </w:r>
      <w:r>
        <w:rPr>
          <w:b/>
          <w:sz w:val="20"/>
        </w:rPr>
        <w:t>445,45</w:t>
      </w:r>
      <w:r>
        <w:rPr>
          <w:b/>
          <w:spacing w:val="-6"/>
          <w:sz w:val="20"/>
        </w:rPr>
        <w:t> </w:t>
      </w:r>
      <w:r>
        <w:rPr>
          <w:b/>
          <w:sz w:val="20"/>
        </w:rPr>
        <w:t>Kč</w:t>
      </w:r>
      <w:r>
        <w:rPr>
          <w:b/>
          <w:spacing w:val="-7"/>
          <w:sz w:val="20"/>
        </w:rPr>
        <w:t> </w:t>
      </w:r>
      <w:r>
        <w:rPr>
          <w:sz w:val="20"/>
        </w:rPr>
        <w:t>(slovy:</w:t>
      </w:r>
      <w:r>
        <w:rPr>
          <w:spacing w:val="-6"/>
          <w:sz w:val="20"/>
        </w:rPr>
        <w:t> </w:t>
      </w:r>
      <w:r>
        <w:rPr>
          <w:sz w:val="20"/>
        </w:rPr>
        <w:t>jeden</w:t>
      </w:r>
      <w:r>
        <w:rPr>
          <w:spacing w:val="-4"/>
          <w:sz w:val="20"/>
        </w:rPr>
        <w:t> </w:t>
      </w:r>
      <w:r>
        <w:rPr>
          <w:sz w:val="20"/>
        </w:rPr>
        <w:t>milion</w:t>
      </w:r>
      <w:r>
        <w:rPr>
          <w:spacing w:val="-7"/>
          <w:sz w:val="20"/>
        </w:rPr>
        <w:t> </w:t>
      </w:r>
      <w:r>
        <w:rPr>
          <w:sz w:val="20"/>
        </w:rPr>
        <w:t>dvě</w:t>
      </w:r>
      <w:r>
        <w:rPr>
          <w:spacing w:val="-6"/>
          <w:sz w:val="20"/>
        </w:rPr>
        <w:t> </w:t>
      </w:r>
      <w:r>
        <w:rPr>
          <w:sz w:val="20"/>
        </w:rPr>
        <w:t>stě</w:t>
      </w:r>
      <w:r>
        <w:rPr>
          <w:spacing w:val="-8"/>
          <w:sz w:val="20"/>
        </w:rPr>
        <w:t> </w:t>
      </w:r>
      <w:r>
        <w:rPr>
          <w:sz w:val="20"/>
        </w:rPr>
        <w:t>osmdesát</w:t>
      </w:r>
      <w:r>
        <w:rPr>
          <w:spacing w:val="-7"/>
          <w:sz w:val="20"/>
        </w:rPr>
        <w:t> </w:t>
      </w:r>
      <w:r>
        <w:rPr>
          <w:sz w:val="20"/>
        </w:rPr>
        <w:t>sedm</w:t>
      </w:r>
      <w:r>
        <w:rPr>
          <w:spacing w:val="-8"/>
          <w:sz w:val="20"/>
        </w:rPr>
        <w:t> </w:t>
      </w:r>
      <w:r>
        <w:rPr>
          <w:sz w:val="20"/>
        </w:rPr>
        <w:t>tisíc</w:t>
      </w:r>
      <w:r>
        <w:rPr>
          <w:spacing w:val="-5"/>
          <w:sz w:val="20"/>
        </w:rPr>
        <w:t> </w:t>
      </w:r>
      <w:r>
        <w:rPr>
          <w:sz w:val="20"/>
        </w:rPr>
        <w:t>čtyři</w:t>
      </w:r>
      <w:r>
        <w:rPr>
          <w:spacing w:val="-5"/>
          <w:sz w:val="20"/>
        </w:rPr>
        <w:t> </w:t>
      </w:r>
      <w:r>
        <w:rPr>
          <w:sz w:val="20"/>
        </w:rPr>
        <w:t>sta</w:t>
      </w:r>
      <w:r>
        <w:rPr>
          <w:spacing w:val="-5"/>
          <w:sz w:val="20"/>
        </w:rPr>
        <w:t> </w:t>
      </w:r>
      <w:r>
        <w:rPr>
          <w:sz w:val="20"/>
        </w:rPr>
        <w:t>čtyřicet pět korun českých, čtyřicet pět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1 827 324,26 Kč.</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8"/>
        <w:ind w:left="3137"/>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6"/>
          <w:sz w:val="20"/>
        </w:rPr>
        <w:t> </w:t>
      </w:r>
      <w:r>
        <w:rPr>
          <w:sz w:val="20"/>
        </w:rPr>
        <w:t>účel</w:t>
      </w:r>
      <w:r>
        <w:rPr>
          <w:spacing w:val="-6"/>
          <w:sz w:val="20"/>
        </w:rPr>
        <w:t> </w:t>
      </w:r>
      <w:r>
        <w:rPr>
          <w:sz w:val="20"/>
        </w:rPr>
        <w:t>akce</w:t>
      </w:r>
      <w:r>
        <w:rPr>
          <w:spacing w:val="-6"/>
          <w:sz w:val="20"/>
        </w:rPr>
        <w:t> </w:t>
      </w:r>
      <w:r>
        <w:rPr>
          <w:sz w:val="20"/>
        </w:rPr>
        <w:t>„REALIZACE</w:t>
      </w:r>
      <w:r>
        <w:rPr>
          <w:spacing w:val="-6"/>
          <w:sz w:val="20"/>
        </w:rPr>
        <w:t> </w:t>
      </w:r>
      <w:r>
        <w:rPr>
          <w:sz w:val="20"/>
        </w:rPr>
        <w:t>FVE</w:t>
      </w:r>
      <w:r>
        <w:rPr>
          <w:spacing w:val="-6"/>
          <w:sz w:val="20"/>
        </w:rPr>
        <w:t> </w:t>
      </w:r>
      <w:r>
        <w:rPr>
          <w:sz w:val="20"/>
        </w:rPr>
        <w:t>V</w:t>
      </w:r>
      <w:r>
        <w:rPr>
          <w:spacing w:val="-7"/>
          <w:sz w:val="20"/>
        </w:rPr>
        <w:t> </w:t>
      </w:r>
      <w:r>
        <w:rPr>
          <w:sz w:val="20"/>
        </w:rPr>
        <w:t>OBCI</w:t>
      </w:r>
      <w:r>
        <w:rPr>
          <w:spacing w:val="-6"/>
          <w:sz w:val="20"/>
        </w:rPr>
        <w:t> </w:t>
      </w:r>
      <w:r>
        <w:rPr>
          <w:sz w:val="20"/>
        </w:rPr>
        <w:t>KORYTNÁ“</w:t>
      </w:r>
      <w:r>
        <w:rPr>
          <w:spacing w:val="-6"/>
          <w:sz w:val="20"/>
        </w:rPr>
        <w:t> </w:t>
      </w:r>
      <w:r>
        <w:rPr>
          <w:sz w:val="20"/>
        </w:rPr>
        <w:t>tím,</w:t>
      </w:r>
      <w:r>
        <w:rPr>
          <w:spacing w:val="-6"/>
          <w:sz w:val="20"/>
        </w:rPr>
        <w:t> </w:t>
      </w:r>
      <w:r>
        <w:rPr>
          <w:sz w:val="20"/>
        </w:rPr>
        <w:t>že</w:t>
      </w:r>
      <w:r>
        <w:rPr>
          <w:spacing w:val="-6"/>
          <w:sz w:val="20"/>
        </w:rPr>
        <w:t> </w:t>
      </w:r>
      <w:r>
        <w:rPr>
          <w:sz w:val="20"/>
        </w:rPr>
        <w:t>akce</w:t>
      </w:r>
      <w:r>
        <w:rPr>
          <w:spacing w:val="-6"/>
          <w:sz w:val="20"/>
        </w:rPr>
        <w:t> </w:t>
      </w:r>
      <w:r>
        <w:rPr>
          <w:sz w:val="20"/>
        </w:rPr>
        <w:t>bude</w:t>
      </w:r>
      <w:r>
        <w:rPr>
          <w:spacing w:val="-6"/>
          <w:sz w:val="20"/>
        </w:rPr>
        <w:t> </w:t>
      </w:r>
      <w:r>
        <w:rPr>
          <w:sz w:val="20"/>
        </w:rPr>
        <w:t>provedena</w:t>
      </w:r>
      <w:r>
        <w:rPr>
          <w:spacing w:val="-6"/>
          <w:sz w:val="20"/>
        </w:rPr>
        <w:t> </w:t>
      </w:r>
      <w:r>
        <w:rPr>
          <w:sz w:val="20"/>
        </w:rPr>
        <w:t>v</w:t>
      </w:r>
      <w:r>
        <w:rPr>
          <w:spacing w:val="-2"/>
          <w:sz w:val="20"/>
        </w:rPr>
        <w:t> </w:t>
      </w:r>
      <w:r>
        <w:rPr>
          <w:sz w:val="20"/>
        </w:rPr>
        <w:t>souladu</w:t>
      </w:r>
      <w:r>
        <w:rPr>
          <w:spacing w:val="-6"/>
          <w:sz w:val="20"/>
        </w:rPr>
        <w:t> </w:t>
      </w:r>
      <w:r>
        <w:rPr>
          <w:sz w:val="20"/>
        </w:rPr>
        <w:t>s</w:t>
      </w:r>
      <w:r>
        <w:rPr>
          <w:spacing w:val="-4"/>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0"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 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56,44 kWp a instalací akumulace o kapacitě 41,6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1"/>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10"/>
          <w:sz w:val="20"/>
        </w:rPr>
        <w:t> </w:t>
      </w:r>
      <w:r>
        <w:rPr>
          <w:w w:val="95"/>
          <w:sz w:val="20"/>
        </w:rPr>
        <w:t>písmene</w:t>
      </w:r>
      <w:r>
        <w:rPr>
          <w:spacing w:val="9"/>
          <w:sz w:val="20"/>
        </w:rPr>
        <w:t> </w:t>
      </w:r>
      <w:r>
        <w:rPr>
          <w:w w:val="95"/>
          <w:sz w:val="20"/>
        </w:rPr>
        <w:t>f)</w:t>
      </w:r>
      <w:r>
        <w:rPr>
          <w:spacing w:val="10"/>
          <w:sz w:val="20"/>
        </w:rPr>
        <w:t> </w:t>
      </w:r>
      <w:r>
        <w:rPr>
          <w:w w:val="95"/>
          <w:sz w:val="20"/>
        </w:rPr>
        <w:t>bude</w:t>
      </w:r>
      <w:r>
        <w:rPr>
          <w:spacing w:val="10"/>
          <w:sz w:val="20"/>
        </w:rPr>
        <w:t> </w:t>
      </w:r>
      <w:r>
        <w:rPr>
          <w:w w:val="95"/>
          <w:sz w:val="20"/>
        </w:rPr>
        <w:t>projekt</w:t>
      </w:r>
      <w:r>
        <w:rPr>
          <w:spacing w:val="10"/>
          <w:sz w:val="20"/>
        </w:rPr>
        <w:t> </w:t>
      </w:r>
      <w:r>
        <w:rPr>
          <w:w w:val="95"/>
          <w:sz w:val="20"/>
        </w:rPr>
        <w:t>plnit</w:t>
      </w:r>
      <w:r>
        <w:rPr>
          <w:spacing w:val="11"/>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9"/>
        <w:gridCol w:w="1507"/>
        <w:gridCol w:w="1349"/>
        <w:gridCol w:w="1372"/>
      </w:tblGrid>
      <w:tr>
        <w:trPr>
          <w:trHeight w:val="772" w:hRule="atLeast"/>
        </w:trPr>
        <w:tc>
          <w:tcPr>
            <w:tcW w:w="4599" w:type="dxa"/>
          </w:tcPr>
          <w:p>
            <w:pPr>
              <w:pStyle w:val="TableParagraph"/>
              <w:spacing w:before="120"/>
              <w:ind w:left="105"/>
              <w:rPr>
                <w:b/>
                <w:sz w:val="20"/>
              </w:rPr>
            </w:pPr>
            <w:r>
              <w:rPr>
                <w:b/>
                <w:spacing w:val="-2"/>
                <w:sz w:val="20"/>
              </w:rPr>
              <w:t>Indikátor</w:t>
            </w:r>
          </w:p>
        </w:tc>
        <w:tc>
          <w:tcPr>
            <w:tcW w:w="1507" w:type="dxa"/>
          </w:tcPr>
          <w:p>
            <w:pPr>
              <w:pStyle w:val="TableParagraph"/>
              <w:spacing w:before="120"/>
              <w:ind w:left="108"/>
              <w:rPr>
                <w:b/>
                <w:sz w:val="20"/>
              </w:rPr>
            </w:pPr>
            <w:r>
              <w:rPr>
                <w:b/>
                <w:spacing w:val="-2"/>
                <w:sz w:val="20"/>
              </w:rPr>
              <w:t>Jednotka</w:t>
            </w:r>
          </w:p>
        </w:tc>
        <w:tc>
          <w:tcPr>
            <w:tcW w:w="1349" w:type="dxa"/>
          </w:tcPr>
          <w:p>
            <w:pPr>
              <w:pStyle w:val="TableParagraph"/>
              <w:spacing w:before="120"/>
              <w:ind w:left="108" w:right="429"/>
              <w:rPr>
                <w:b/>
                <w:sz w:val="20"/>
              </w:rPr>
            </w:pPr>
            <w:r>
              <w:rPr>
                <w:b/>
                <w:spacing w:val="-2"/>
                <w:sz w:val="20"/>
              </w:rPr>
              <w:t>Výchozí hodnota</w:t>
            </w:r>
          </w:p>
        </w:tc>
        <w:tc>
          <w:tcPr>
            <w:tcW w:w="1372" w:type="dxa"/>
          </w:tcPr>
          <w:p>
            <w:pPr>
              <w:pStyle w:val="TableParagraph"/>
              <w:spacing w:before="120"/>
              <w:ind w:left="108" w:right="452"/>
              <w:rPr>
                <w:b/>
                <w:sz w:val="20"/>
              </w:rPr>
            </w:pPr>
            <w:r>
              <w:rPr>
                <w:b/>
                <w:spacing w:val="-2"/>
                <w:sz w:val="20"/>
              </w:rPr>
              <w:t>Cílová hodnota</w:t>
            </w:r>
          </w:p>
        </w:tc>
      </w:tr>
      <w:tr>
        <w:trPr>
          <w:trHeight w:val="532" w:hRule="atLeast"/>
        </w:trPr>
        <w:tc>
          <w:tcPr>
            <w:tcW w:w="4599" w:type="dxa"/>
          </w:tcPr>
          <w:p>
            <w:pPr>
              <w:pStyle w:val="TableParagraph"/>
              <w:spacing w:line="266" w:lineRule="exact" w:before="0"/>
              <w:ind w:left="388"/>
              <w:rPr>
                <w:sz w:val="20"/>
              </w:rPr>
            </w:pPr>
            <w:r>
              <w:rPr>
                <w:sz w:val="20"/>
              </w:rPr>
              <w:t>Nová</w:t>
            </w:r>
            <w:r>
              <w:rPr>
                <w:spacing w:val="-9"/>
                <w:sz w:val="20"/>
              </w:rPr>
              <w:t> </w:t>
            </w:r>
            <w:r>
              <w:rPr>
                <w:sz w:val="20"/>
              </w:rPr>
              <w:t>kapacita</w:t>
            </w:r>
            <w:r>
              <w:rPr>
                <w:spacing w:val="-10"/>
                <w:sz w:val="20"/>
              </w:rPr>
              <w:t> </w:t>
            </w:r>
            <w:r>
              <w:rPr>
                <w:sz w:val="20"/>
              </w:rPr>
              <w:t>akumulace</w:t>
            </w:r>
            <w:r>
              <w:rPr>
                <w:spacing w:val="-8"/>
                <w:sz w:val="20"/>
              </w:rPr>
              <w:t> </w:t>
            </w:r>
            <w:r>
              <w:rPr>
                <w:sz w:val="20"/>
              </w:rPr>
              <w:t>elektrické</w:t>
            </w:r>
            <w:r>
              <w:rPr>
                <w:spacing w:val="-8"/>
                <w:sz w:val="20"/>
              </w:rPr>
              <w:t> </w:t>
            </w:r>
            <w:r>
              <w:rPr>
                <w:sz w:val="20"/>
              </w:rPr>
              <w:t>energie</w:t>
            </w:r>
            <w:r>
              <w:rPr>
                <w:spacing w:val="-10"/>
                <w:sz w:val="20"/>
              </w:rPr>
              <w:t> </w:t>
            </w:r>
            <w:r>
              <w:rPr>
                <w:sz w:val="20"/>
              </w:rPr>
              <w:t>z OZE (kWh)</w:t>
            </w:r>
          </w:p>
        </w:tc>
        <w:tc>
          <w:tcPr>
            <w:tcW w:w="1507" w:type="dxa"/>
          </w:tcPr>
          <w:p>
            <w:pPr>
              <w:pStyle w:val="TableParagraph"/>
              <w:spacing w:before="120"/>
              <w:ind w:left="391"/>
              <w:rPr>
                <w:sz w:val="20"/>
              </w:rPr>
            </w:pPr>
            <w:r>
              <w:rPr>
                <w:spacing w:val="-5"/>
                <w:sz w:val="20"/>
              </w:rPr>
              <w:t>kWh</w:t>
            </w:r>
          </w:p>
        </w:tc>
        <w:tc>
          <w:tcPr>
            <w:tcW w:w="1349" w:type="dxa"/>
          </w:tcPr>
          <w:p>
            <w:pPr>
              <w:pStyle w:val="TableParagraph"/>
              <w:spacing w:before="120"/>
              <w:ind w:left="391"/>
              <w:rPr>
                <w:sz w:val="20"/>
              </w:rPr>
            </w:pPr>
            <w:r>
              <w:rPr>
                <w:w w:val="99"/>
                <w:sz w:val="20"/>
              </w:rPr>
              <w:t>0</w:t>
            </w:r>
          </w:p>
        </w:tc>
        <w:tc>
          <w:tcPr>
            <w:tcW w:w="1372" w:type="dxa"/>
          </w:tcPr>
          <w:p>
            <w:pPr>
              <w:pStyle w:val="TableParagraph"/>
              <w:spacing w:before="120"/>
              <w:ind w:left="391"/>
              <w:rPr>
                <w:sz w:val="20"/>
              </w:rPr>
            </w:pPr>
            <w:r>
              <w:rPr>
                <w:spacing w:val="-2"/>
                <w:sz w:val="20"/>
              </w:rPr>
              <w:t>41.60</w:t>
            </w:r>
          </w:p>
        </w:tc>
      </w:tr>
      <w:tr>
        <w:trPr>
          <w:trHeight w:val="506" w:hRule="atLeast"/>
        </w:trPr>
        <w:tc>
          <w:tcPr>
            <w:tcW w:w="459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507" w:type="dxa"/>
          </w:tcPr>
          <w:p>
            <w:pPr>
              <w:pStyle w:val="TableParagraph"/>
              <w:spacing w:before="120"/>
              <w:ind w:left="391"/>
              <w:rPr>
                <w:sz w:val="20"/>
              </w:rPr>
            </w:pPr>
            <w:r>
              <w:rPr>
                <w:spacing w:val="-5"/>
                <w:sz w:val="20"/>
              </w:rPr>
              <w:t>kWp</w:t>
            </w:r>
          </w:p>
        </w:tc>
        <w:tc>
          <w:tcPr>
            <w:tcW w:w="1349" w:type="dxa"/>
          </w:tcPr>
          <w:p>
            <w:pPr>
              <w:pStyle w:val="TableParagraph"/>
              <w:spacing w:before="120"/>
              <w:ind w:left="391"/>
              <w:rPr>
                <w:sz w:val="20"/>
              </w:rPr>
            </w:pPr>
            <w:r>
              <w:rPr>
                <w:w w:val="99"/>
                <w:sz w:val="20"/>
              </w:rPr>
              <w:t>0</w:t>
            </w:r>
          </w:p>
        </w:tc>
        <w:tc>
          <w:tcPr>
            <w:tcW w:w="1372" w:type="dxa"/>
          </w:tcPr>
          <w:p>
            <w:pPr>
              <w:pStyle w:val="TableParagraph"/>
              <w:spacing w:before="120"/>
              <w:ind w:left="391"/>
              <w:rPr>
                <w:sz w:val="20"/>
              </w:rPr>
            </w:pPr>
            <w:r>
              <w:rPr>
                <w:spacing w:val="-2"/>
                <w:sz w:val="20"/>
              </w:rPr>
              <w:t>56.44</w:t>
            </w:r>
          </w:p>
        </w:tc>
      </w:tr>
      <w:tr>
        <w:trPr>
          <w:trHeight w:val="505" w:hRule="atLeast"/>
        </w:trPr>
        <w:tc>
          <w:tcPr>
            <w:tcW w:w="459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507" w:type="dxa"/>
          </w:tcPr>
          <w:p>
            <w:pPr>
              <w:pStyle w:val="TableParagraph"/>
              <w:spacing w:before="120"/>
              <w:ind w:left="0" w:right="236"/>
              <w:jc w:val="right"/>
              <w:rPr>
                <w:sz w:val="20"/>
              </w:rPr>
            </w:pPr>
            <w:r>
              <w:rPr>
                <w:sz w:val="20"/>
              </w:rPr>
              <w:t>t</w:t>
            </w:r>
            <w:r>
              <w:rPr>
                <w:spacing w:val="-2"/>
                <w:sz w:val="20"/>
              </w:rPr>
              <w:t> CO2/rok</w:t>
            </w:r>
          </w:p>
        </w:tc>
        <w:tc>
          <w:tcPr>
            <w:tcW w:w="1349" w:type="dxa"/>
          </w:tcPr>
          <w:p>
            <w:pPr>
              <w:pStyle w:val="TableParagraph"/>
              <w:spacing w:before="120"/>
              <w:ind w:left="391"/>
              <w:rPr>
                <w:sz w:val="20"/>
              </w:rPr>
            </w:pPr>
            <w:r>
              <w:rPr>
                <w:w w:val="99"/>
                <w:sz w:val="20"/>
              </w:rPr>
              <w:t>0</w:t>
            </w:r>
          </w:p>
        </w:tc>
        <w:tc>
          <w:tcPr>
            <w:tcW w:w="1372" w:type="dxa"/>
          </w:tcPr>
          <w:p>
            <w:pPr>
              <w:pStyle w:val="TableParagraph"/>
              <w:spacing w:before="120"/>
              <w:ind w:left="391"/>
              <w:rPr>
                <w:sz w:val="20"/>
              </w:rPr>
            </w:pPr>
            <w:r>
              <w:rPr>
                <w:spacing w:val="-2"/>
                <w:sz w:val="20"/>
              </w:rPr>
              <w:t>45.84</w:t>
            </w:r>
          </w:p>
        </w:tc>
      </w:tr>
      <w:tr>
        <w:trPr>
          <w:trHeight w:val="532" w:hRule="atLeast"/>
        </w:trPr>
        <w:tc>
          <w:tcPr>
            <w:tcW w:w="459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507" w:type="dxa"/>
          </w:tcPr>
          <w:p>
            <w:pPr>
              <w:pStyle w:val="TableParagraph"/>
              <w:spacing w:before="120"/>
              <w:ind w:left="0" w:right="260"/>
              <w:jc w:val="right"/>
              <w:rPr>
                <w:sz w:val="20"/>
              </w:rPr>
            </w:pPr>
            <w:r>
              <w:rPr>
                <w:spacing w:val="-2"/>
                <w:sz w:val="20"/>
              </w:rPr>
              <w:t>MWh/rok</w:t>
            </w:r>
          </w:p>
        </w:tc>
        <w:tc>
          <w:tcPr>
            <w:tcW w:w="1349" w:type="dxa"/>
          </w:tcPr>
          <w:p>
            <w:pPr>
              <w:pStyle w:val="TableParagraph"/>
              <w:spacing w:before="120"/>
              <w:ind w:left="391"/>
              <w:rPr>
                <w:sz w:val="20"/>
              </w:rPr>
            </w:pPr>
            <w:r>
              <w:rPr>
                <w:w w:val="99"/>
                <w:sz w:val="20"/>
              </w:rPr>
              <w:t>0</w:t>
            </w:r>
          </w:p>
        </w:tc>
        <w:tc>
          <w:tcPr>
            <w:tcW w:w="1372" w:type="dxa"/>
          </w:tcPr>
          <w:p>
            <w:pPr>
              <w:pStyle w:val="TableParagraph"/>
              <w:spacing w:before="120"/>
              <w:ind w:left="391"/>
              <w:rPr>
                <w:sz w:val="20"/>
              </w:rPr>
            </w:pPr>
            <w:r>
              <w:rPr>
                <w:spacing w:val="-2"/>
                <w:sz w:val="20"/>
              </w:rPr>
              <w:t>151.03</w:t>
            </w:r>
          </w:p>
        </w:tc>
      </w:tr>
      <w:tr>
        <w:trPr>
          <w:trHeight w:val="506" w:hRule="atLeast"/>
        </w:trPr>
        <w:tc>
          <w:tcPr>
            <w:tcW w:w="459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507" w:type="dxa"/>
          </w:tcPr>
          <w:p>
            <w:pPr>
              <w:pStyle w:val="TableParagraph"/>
              <w:spacing w:before="120"/>
              <w:ind w:left="0" w:right="260"/>
              <w:jc w:val="right"/>
              <w:rPr>
                <w:sz w:val="20"/>
              </w:rPr>
            </w:pPr>
            <w:r>
              <w:rPr>
                <w:spacing w:val="-2"/>
                <w:sz w:val="20"/>
              </w:rPr>
              <w:t>MWh/rok</w:t>
            </w:r>
          </w:p>
        </w:tc>
        <w:tc>
          <w:tcPr>
            <w:tcW w:w="1349" w:type="dxa"/>
          </w:tcPr>
          <w:p>
            <w:pPr>
              <w:pStyle w:val="TableParagraph"/>
              <w:spacing w:before="120"/>
              <w:ind w:left="391"/>
              <w:rPr>
                <w:sz w:val="20"/>
              </w:rPr>
            </w:pPr>
            <w:r>
              <w:rPr>
                <w:w w:val="99"/>
                <w:sz w:val="20"/>
              </w:rPr>
              <w:t>0</w:t>
            </w:r>
          </w:p>
        </w:tc>
        <w:tc>
          <w:tcPr>
            <w:tcW w:w="1372" w:type="dxa"/>
          </w:tcPr>
          <w:p>
            <w:pPr>
              <w:pStyle w:val="TableParagraph"/>
              <w:spacing w:before="120"/>
              <w:ind w:left="391"/>
              <w:rPr>
                <w:sz w:val="20"/>
              </w:rPr>
            </w:pPr>
            <w:r>
              <w:rPr>
                <w:spacing w:val="-2"/>
                <w:sz w:val="20"/>
              </w:rPr>
              <w:t>58.09</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76" w:lineRule="auto" w:before="119" w:after="0"/>
        <w:ind w:left="745" w:right="118"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21"/>
        </w:rPr>
        <w:t> </w:t>
      </w:r>
      <w:r>
        <w:rPr/>
        <w:t>stavění</w:t>
      </w:r>
      <w:r>
        <w:rPr>
          <w:spacing w:val="23"/>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4"/>
          <w:sz w:val="20"/>
        </w:rPr>
        <w:t> </w:t>
      </w:r>
      <w:r>
        <w:rPr>
          <w:sz w:val="20"/>
        </w:rPr>
        <w:t>vést</w:t>
      </w:r>
      <w:r>
        <w:rPr>
          <w:spacing w:val="-13"/>
          <w:sz w:val="20"/>
        </w:rPr>
        <w:t> </w:t>
      </w:r>
      <w:r>
        <w:rPr>
          <w:sz w:val="20"/>
        </w:rPr>
        <w:t>v</w:t>
      </w:r>
      <w:r>
        <w:rPr>
          <w:spacing w:val="-2"/>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 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0"/>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ind w:left="3137"/>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2"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8"/>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5"/>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6"/>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5"/>
          <w:sz w:val="20"/>
        </w:rPr>
        <w:t> </w:t>
      </w:r>
      <w:r>
        <w:rPr>
          <w:sz w:val="20"/>
        </w:rPr>
        <w:t>takto:</w:t>
      </w:r>
      <w:r>
        <w:rPr>
          <w:spacing w:val="35"/>
          <w:sz w:val="20"/>
        </w:rPr>
        <w:t> </w:t>
      </w:r>
      <w:r>
        <w:rPr>
          <w:sz w:val="20"/>
        </w:rPr>
        <w:t>do</w:t>
      </w:r>
      <w:r>
        <w:rPr>
          <w:spacing w:val="35"/>
          <w:sz w:val="20"/>
        </w:rPr>
        <w:t> </w:t>
      </w:r>
      <w:r>
        <w:rPr>
          <w:sz w:val="20"/>
        </w:rPr>
        <w:t>60</w:t>
      </w:r>
      <w:r>
        <w:rPr>
          <w:spacing w:val="35"/>
          <w:sz w:val="20"/>
        </w:rPr>
        <w:t> </w:t>
      </w:r>
      <w:r>
        <w:rPr>
          <w:sz w:val="20"/>
        </w:rPr>
        <w:t>kalendářních</w:t>
      </w:r>
      <w:r>
        <w:rPr>
          <w:spacing w:val="34"/>
          <w:sz w:val="20"/>
        </w:rPr>
        <w:t> </w:t>
      </w:r>
      <w:r>
        <w:rPr>
          <w:sz w:val="20"/>
        </w:rPr>
        <w:t>dní</w:t>
      </w:r>
      <w:r>
        <w:rPr>
          <w:spacing w:val="34"/>
          <w:sz w:val="20"/>
        </w:rPr>
        <w:t> </w:t>
      </w:r>
      <w:r>
        <w:rPr>
          <w:sz w:val="20"/>
        </w:rPr>
        <w:t>bez</w:t>
      </w:r>
      <w:r>
        <w:rPr>
          <w:spacing w:val="35"/>
          <w:sz w:val="20"/>
        </w:rPr>
        <w:t> </w:t>
      </w:r>
      <w:r>
        <w:rPr>
          <w:sz w:val="20"/>
        </w:rPr>
        <w:t>postihu,</w:t>
      </w:r>
      <w:r>
        <w:rPr>
          <w:spacing w:val="36"/>
          <w:sz w:val="20"/>
        </w:rPr>
        <w:t> </w:t>
      </w:r>
      <w:r>
        <w:rPr>
          <w:sz w:val="20"/>
        </w:rPr>
        <w:t>od</w:t>
      </w:r>
      <w:r>
        <w:rPr>
          <w:spacing w:val="40"/>
          <w:sz w:val="20"/>
        </w:rPr>
        <w:t> </w:t>
      </w:r>
      <w:r>
        <w:rPr>
          <w:sz w:val="20"/>
        </w:rPr>
        <w:t>61</w:t>
      </w:r>
      <w:r>
        <w:rPr>
          <w:spacing w:val="35"/>
          <w:sz w:val="20"/>
        </w:rPr>
        <w:t> </w:t>
      </w:r>
      <w:r>
        <w:rPr>
          <w:sz w:val="20"/>
        </w:rPr>
        <w:t>do</w:t>
      </w:r>
      <w:r>
        <w:rPr>
          <w:spacing w:val="35"/>
          <w:sz w:val="20"/>
        </w:rPr>
        <w:t> </w:t>
      </w:r>
      <w:r>
        <w:rPr>
          <w:sz w:val="20"/>
        </w:rPr>
        <w:t>120</w:t>
      </w:r>
      <w:r>
        <w:rPr>
          <w:spacing w:val="35"/>
          <w:sz w:val="20"/>
        </w:rPr>
        <w:t> </w:t>
      </w:r>
      <w:r>
        <w:rPr>
          <w:sz w:val="20"/>
        </w:rPr>
        <w:t>kalendářních</w:t>
      </w:r>
      <w:r>
        <w:rPr>
          <w:spacing w:val="34"/>
          <w:sz w:val="20"/>
        </w:rPr>
        <w:t> </w:t>
      </w:r>
      <w:r>
        <w:rPr>
          <w:sz w:val="20"/>
        </w:rPr>
        <w:t>dní</w:t>
      </w:r>
      <w:r>
        <w:rPr>
          <w:spacing w:val="34"/>
          <w:sz w:val="20"/>
        </w:rPr>
        <w:t> </w:t>
      </w:r>
      <w:r>
        <w:rPr>
          <w:sz w:val="20"/>
        </w:rPr>
        <w:t>odvod</w:t>
      </w:r>
      <w:r>
        <w:rPr>
          <w:spacing w:val="35"/>
          <w:sz w:val="20"/>
        </w:rPr>
        <w:t> </w:t>
      </w:r>
      <w:r>
        <w:rPr>
          <w:sz w:val="20"/>
        </w:rPr>
        <w:t>0,5</w:t>
      </w:r>
      <w:r>
        <w:rPr>
          <w:spacing w:val="35"/>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w:t>
      </w:r>
      <w:r>
        <w:rPr>
          <w:spacing w:val="-2"/>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13"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9"/>
          <w:sz w:val="20"/>
        </w:rPr>
        <w:t> </w:t>
      </w:r>
      <w:r>
        <w:rPr>
          <w:sz w:val="20"/>
        </w:rPr>
        <w:t>jako</w:t>
      </w:r>
      <w:r>
        <w:rPr>
          <w:spacing w:val="-6"/>
          <w:sz w:val="20"/>
        </w:rPr>
        <w:t> </w:t>
      </w:r>
      <w:r>
        <w:rPr>
          <w:sz w:val="20"/>
        </w:rPr>
        <w:t>závazek 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8"/>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3"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1"/>
          <w:sz w:val="20"/>
        </w:rPr>
        <w:t> </w:t>
      </w:r>
      <w:r>
        <w:rPr>
          <w:sz w:val="20"/>
        </w:rPr>
        <w:t>bude</w:t>
      </w:r>
      <w:r>
        <w:rPr>
          <w:spacing w:val="-11"/>
          <w:sz w:val="20"/>
        </w:rPr>
        <w:t> </w:t>
      </w:r>
      <w:r>
        <w:rPr>
          <w:sz w:val="20"/>
        </w:rPr>
        <w:t>identifikováno</w:t>
      </w:r>
      <w:r>
        <w:rPr>
          <w:spacing w:val="-10"/>
          <w:sz w:val="20"/>
        </w:rPr>
        <w:t> </w:t>
      </w:r>
      <w:r>
        <w:rPr>
          <w:sz w:val="20"/>
        </w:rPr>
        <w:t>porušení,</w:t>
      </w:r>
      <w:r>
        <w:rPr>
          <w:spacing w:val="-9"/>
          <w:sz w:val="20"/>
        </w:rPr>
        <w:t> </w:t>
      </w:r>
      <w:r>
        <w:rPr>
          <w:sz w:val="20"/>
        </w:rPr>
        <w:t>které</w:t>
      </w:r>
      <w:r>
        <w:rPr>
          <w:spacing w:val="-11"/>
          <w:sz w:val="20"/>
        </w:rPr>
        <w:t> </w:t>
      </w:r>
      <w:r>
        <w:rPr>
          <w:sz w:val="20"/>
        </w:rPr>
        <w:t>nelze</w:t>
      </w:r>
      <w:r>
        <w:rPr>
          <w:spacing w:val="-10"/>
          <w:sz w:val="20"/>
        </w:rPr>
        <w:t> </w:t>
      </w:r>
      <w:r>
        <w:rPr>
          <w:sz w:val="20"/>
        </w:rPr>
        <w:t>podřadit</w:t>
      </w:r>
      <w:r>
        <w:rPr>
          <w:spacing w:val="-11"/>
          <w:sz w:val="20"/>
        </w:rPr>
        <w:t> </w:t>
      </w:r>
      <w:r>
        <w:rPr>
          <w:sz w:val="20"/>
        </w:rPr>
        <w:t>pod</w:t>
      </w:r>
      <w:r>
        <w:rPr>
          <w:spacing w:val="-11"/>
          <w:sz w:val="20"/>
        </w:rPr>
        <w:t> </w:t>
      </w:r>
      <w:r>
        <w:rPr>
          <w:sz w:val="20"/>
        </w:rPr>
        <w:t>konkrétní</w:t>
      </w:r>
      <w:r>
        <w:rPr>
          <w:spacing w:val="-11"/>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229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2025-05-05T11:37:41Z</dcterms:created>
  <dcterms:modified xsi:type="dcterms:W3CDTF">2025-05-05T11:37:41Z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Microsoft® Word 2016</vt:lpwstr>
  </property>
  <property fmtid="{D5CDD505-2E9C-101B-9397-08002B2CF9AE}" pid="4" name="LastSaved">
    <vt:filetime>2025-05-05T00:00:00Z</vt:filetime>
  </property>
</Properties>
</file>