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1249900031</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obec</w:t>
      </w:r>
      <w:r>
        <w:rPr>
          <w:spacing w:val="-4"/>
        </w:rPr>
        <w:t> </w:t>
      </w:r>
      <w:r>
        <w:rPr>
          <w:spacing w:val="-2"/>
        </w:rPr>
        <w:t>Kujavy</w:t>
      </w:r>
    </w:p>
    <w:p>
      <w:pPr>
        <w:pStyle w:val="BodyText"/>
        <w:tabs>
          <w:tab w:pos="3122" w:val="left" w:leader="none"/>
        </w:tabs>
        <w:ind w:left="242"/>
      </w:pPr>
      <w:r>
        <w:rPr/>
        <w:t>kontaktní</w:t>
      </w:r>
      <w:r>
        <w:rPr>
          <w:spacing w:val="-11"/>
        </w:rPr>
        <w:t> </w:t>
      </w:r>
      <w:r>
        <w:rPr>
          <w:spacing w:val="-2"/>
        </w:rPr>
        <w:t>adresa:</w:t>
      </w:r>
      <w:r>
        <w:rPr/>
        <w:tab/>
        <w:t>Obecní</w:t>
      </w:r>
      <w:r>
        <w:rPr>
          <w:spacing w:val="-5"/>
        </w:rPr>
        <w:t> </w:t>
      </w:r>
      <w:r>
        <w:rPr/>
        <w:t>úřad</w:t>
      </w:r>
      <w:r>
        <w:rPr>
          <w:spacing w:val="-5"/>
        </w:rPr>
        <w:t> </w:t>
      </w:r>
      <w:r>
        <w:rPr/>
        <w:t>Kujavy,</w:t>
      </w:r>
      <w:r>
        <w:rPr>
          <w:spacing w:val="-4"/>
        </w:rPr>
        <w:t> </w:t>
      </w:r>
      <w:r>
        <w:rPr/>
        <w:t>č.p.</w:t>
      </w:r>
      <w:r>
        <w:rPr>
          <w:spacing w:val="-4"/>
        </w:rPr>
        <w:t> </w:t>
      </w:r>
      <w:r>
        <w:rPr/>
        <w:t>86,</w:t>
      </w:r>
      <w:r>
        <w:rPr>
          <w:spacing w:val="-3"/>
        </w:rPr>
        <w:t> </w:t>
      </w:r>
      <w:r>
        <w:rPr/>
        <w:t>742</w:t>
      </w:r>
      <w:r>
        <w:rPr>
          <w:spacing w:val="-2"/>
        </w:rPr>
        <w:t> </w:t>
      </w:r>
      <w:r>
        <w:rPr/>
        <w:t>45</w:t>
      </w:r>
      <w:r>
        <w:rPr>
          <w:spacing w:val="-4"/>
        </w:rPr>
        <w:t> </w:t>
      </w:r>
      <w:r>
        <w:rPr>
          <w:spacing w:val="-2"/>
        </w:rPr>
        <w:t>Kujavy</w:t>
      </w:r>
    </w:p>
    <w:p>
      <w:pPr>
        <w:pStyle w:val="BodyText"/>
        <w:tabs>
          <w:tab w:pos="3122" w:val="left" w:leader="none"/>
        </w:tabs>
        <w:spacing w:line="265" w:lineRule="exact" w:before="1"/>
        <w:ind w:left="242"/>
      </w:pPr>
      <w:r>
        <w:rPr>
          <w:spacing w:val="-4"/>
        </w:rPr>
        <w:t>IČO:</w:t>
      </w:r>
      <w:r>
        <w:rPr/>
        <w:tab/>
      </w:r>
      <w:r>
        <w:rPr>
          <w:spacing w:val="-2"/>
        </w:rPr>
        <w:t>67340474</w:t>
      </w:r>
    </w:p>
    <w:p>
      <w:pPr>
        <w:pStyle w:val="BodyText"/>
        <w:tabs>
          <w:tab w:pos="3122" w:val="left" w:leader="none"/>
        </w:tabs>
        <w:spacing w:line="265" w:lineRule="exact"/>
        <w:ind w:left="242"/>
      </w:pPr>
      <w:r>
        <w:rPr>
          <w:spacing w:val="-2"/>
        </w:rPr>
        <w:t>zastoupená:</w:t>
      </w:r>
      <w:r>
        <w:rPr/>
        <w:tab/>
        <w:t>Michalem</w:t>
      </w:r>
      <w:r>
        <w:rPr>
          <w:spacing w:val="-2"/>
        </w:rPr>
        <w:t> </w:t>
      </w:r>
      <w:r>
        <w:rPr/>
        <w:t>D</w:t>
      </w:r>
      <w:r>
        <w:rPr>
          <w:spacing w:val="-3"/>
        </w:rPr>
        <w:t> </w:t>
      </w:r>
      <w:r>
        <w:rPr/>
        <w:t>r</w:t>
      </w:r>
      <w:r>
        <w:rPr>
          <w:spacing w:val="-2"/>
        </w:rPr>
        <w:t> </w:t>
      </w:r>
      <w:r>
        <w:rPr/>
        <w:t>e</w:t>
      </w:r>
      <w:r>
        <w:rPr>
          <w:spacing w:val="-2"/>
        </w:rPr>
        <w:t> </w:t>
      </w:r>
      <w:r>
        <w:rPr/>
        <w:t>s</w:t>
      </w:r>
      <w:r>
        <w:rPr>
          <w:spacing w:val="-2"/>
        </w:rPr>
        <w:t> </w:t>
      </w:r>
      <w:r>
        <w:rPr/>
        <w:t>l e</w:t>
      </w:r>
      <w:r>
        <w:rPr>
          <w:spacing w:val="-3"/>
        </w:rPr>
        <w:t> </w:t>
      </w:r>
      <w:r>
        <w:rPr/>
        <w:t>r</w:t>
      </w:r>
      <w:r>
        <w:rPr>
          <w:spacing w:val="-2"/>
        </w:rPr>
        <w:t> </w:t>
      </w:r>
      <w:r>
        <w:rPr/>
        <w:t>e</w:t>
      </w:r>
      <w:r>
        <w:rPr>
          <w:spacing w:val="-3"/>
        </w:rPr>
        <w:t> </w:t>
      </w:r>
      <w:r>
        <w:rPr/>
        <w:t>m,</w:t>
      </w:r>
      <w:r>
        <w:rPr>
          <w:spacing w:val="-3"/>
        </w:rPr>
        <w:t> </w:t>
      </w:r>
      <w:r>
        <w:rPr>
          <w:spacing w:val="-2"/>
        </w:rPr>
        <w:t>starostou</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pPr>
      <w:r>
        <w:rPr/>
        <w:t>číslo</w:t>
      </w:r>
      <w:r>
        <w:rPr>
          <w:spacing w:val="-8"/>
        </w:rPr>
        <w:t> </w:t>
      </w:r>
      <w:r>
        <w:rPr>
          <w:spacing w:val="-2"/>
        </w:rPr>
        <w:t>účtu:</w:t>
      </w:r>
      <w:r>
        <w:rPr/>
        <w:tab/>
      </w:r>
      <w:r>
        <w:rPr>
          <w:w w:val="95"/>
        </w:rPr>
        <w:t>94-</w:t>
      </w:r>
      <w:r>
        <w:rPr>
          <w:spacing w:val="-2"/>
        </w:rPr>
        <w:t>1310801/0710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spacing w:before="1"/>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ind w:left="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1249900031 o poskytnutí finančních prostředků ze Státního fondu životního prostředí ČR ze dne 26.</w:t>
      </w:r>
      <w:r>
        <w:rPr>
          <w:spacing w:val="-1"/>
        </w:rPr>
        <w:t> </w:t>
      </w:r>
      <w:r>
        <w:rPr/>
        <w:t>3.</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434" w:header="0" w:top="1480" w:bottom="1620" w:left="1460" w:right="1020"/>
          <w:pgNumType w:start="1"/>
        </w:sectPr>
      </w:pPr>
    </w:p>
    <w:p>
      <w:pPr>
        <w:pStyle w:val="BodyText"/>
        <w:spacing w:before="73"/>
        <w:ind w:right="11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6"/>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1929"/>
        <w:jc w:val="both"/>
      </w:pPr>
      <w:r>
        <w:rPr/>
        <w:t>„Obnova</w:t>
      </w:r>
      <w:r>
        <w:rPr>
          <w:spacing w:val="-7"/>
        </w:rPr>
        <w:t> </w:t>
      </w:r>
      <w:r>
        <w:rPr/>
        <w:t>kanalizačních</w:t>
      </w:r>
      <w:r>
        <w:rPr>
          <w:spacing w:val="-7"/>
        </w:rPr>
        <w:t> </w:t>
      </w:r>
      <w:r>
        <w:rPr/>
        <w:t>výustí</w:t>
      </w:r>
      <w:r>
        <w:rPr>
          <w:spacing w:val="-6"/>
        </w:rPr>
        <w:t> </w:t>
      </w:r>
      <w:r>
        <w:rPr/>
        <w:t>v</w:t>
      </w:r>
      <w:r>
        <w:rPr>
          <w:spacing w:val="-8"/>
        </w:rPr>
        <w:t> </w:t>
      </w:r>
      <w:r>
        <w:rPr/>
        <w:t>obci</w:t>
      </w:r>
      <w:r>
        <w:rPr>
          <w:spacing w:val="-5"/>
        </w:rPr>
        <w:t> </w:t>
      </w:r>
      <w:r>
        <w:rPr/>
        <w:t>Kujavy</w:t>
      </w:r>
      <w:r>
        <w:rPr>
          <w:spacing w:val="-7"/>
        </w:rPr>
        <w:t> </w:t>
      </w:r>
      <w:r>
        <w:rPr/>
        <w:t>po</w:t>
      </w:r>
      <w:r>
        <w:rPr>
          <w:spacing w:val="-6"/>
        </w:rPr>
        <w:t> </w:t>
      </w:r>
      <w:r>
        <w:rPr/>
        <w:t>povodních</w:t>
      </w:r>
      <w:r>
        <w:rPr>
          <w:spacing w:val="-8"/>
        </w:rPr>
        <w:t> </w:t>
      </w:r>
      <w:r>
        <w:rPr>
          <w:spacing w:val="-2"/>
        </w:rPr>
        <w:t>2024“</w:t>
      </w:r>
    </w:p>
    <w:p>
      <w:pPr>
        <w:pStyle w:val="BodyText"/>
        <w:spacing w:before="120"/>
        <w:ind w:left="601"/>
        <w:jc w:val="both"/>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12"/>
        <w:ind w:left="0"/>
        <w:rPr>
          <w:sz w:val="35"/>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40" w:lineRule="auto" w:before="0" w:after="0"/>
        <w:ind w:left="525" w:right="0" w:hanging="284"/>
        <w:jc w:val="both"/>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4"/>
          <w:sz w:val="20"/>
        </w:rPr>
        <w:t> </w:t>
      </w:r>
      <w:r>
        <w:rPr>
          <w:b/>
          <w:sz w:val="20"/>
        </w:rPr>
        <w:t>1</w:t>
      </w:r>
      <w:r>
        <w:rPr>
          <w:b/>
          <w:spacing w:val="-2"/>
          <w:sz w:val="20"/>
        </w:rPr>
        <w:t> </w:t>
      </w:r>
      <w:r>
        <w:rPr>
          <w:b/>
          <w:sz w:val="20"/>
        </w:rPr>
        <w:t>076</w:t>
      </w:r>
      <w:r>
        <w:rPr>
          <w:b/>
          <w:spacing w:val="-4"/>
          <w:sz w:val="20"/>
        </w:rPr>
        <w:t> </w:t>
      </w:r>
      <w:r>
        <w:rPr>
          <w:b/>
          <w:sz w:val="20"/>
        </w:rPr>
        <w:t>900,00 Kč</w:t>
      </w:r>
      <w:r>
        <w:rPr>
          <w:b/>
          <w:spacing w:val="-3"/>
          <w:sz w:val="20"/>
        </w:rPr>
        <w:t> </w:t>
      </w:r>
      <w:r>
        <w:rPr>
          <w:spacing w:val="-2"/>
          <w:sz w:val="20"/>
        </w:rPr>
        <w:t>(slovy:</w:t>
      </w:r>
    </w:p>
    <w:p>
      <w:pPr>
        <w:pStyle w:val="BodyText"/>
        <w:jc w:val="both"/>
      </w:pPr>
      <w:r>
        <w:rPr/>
        <w:t>jeden</w:t>
      </w:r>
      <w:r>
        <w:rPr>
          <w:spacing w:val="-6"/>
        </w:rPr>
        <w:t> </w:t>
      </w:r>
      <w:r>
        <w:rPr/>
        <w:t>milion</w:t>
      </w:r>
      <w:r>
        <w:rPr>
          <w:spacing w:val="-6"/>
        </w:rPr>
        <w:t> </w:t>
      </w:r>
      <w:r>
        <w:rPr/>
        <w:t>sedmdesát</w:t>
      </w:r>
      <w:r>
        <w:rPr>
          <w:spacing w:val="-6"/>
        </w:rPr>
        <w:t> </w:t>
      </w:r>
      <w:r>
        <w:rPr/>
        <w:t>šest</w:t>
      </w:r>
      <w:r>
        <w:rPr>
          <w:spacing w:val="-7"/>
        </w:rPr>
        <w:t> </w:t>
      </w:r>
      <w:r>
        <w:rPr/>
        <w:t>tisíc</w:t>
      </w:r>
      <w:r>
        <w:rPr>
          <w:spacing w:val="-6"/>
        </w:rPr>
        <w:t> </w:t>
      </w:r>
      <w:r>
        <w:rPr/>
        <w:t>devět</w:t>
      </w:r>
      <w:r>
        <w:rPr>
          <w:spacing w:val="-7"/>
        </w:rPr>
        <w:t> </w:t>
      </w:r>
      <w:r>
        <w:rPr/>
        <w:t>set</w:t>
      </w:r>
      <w:r>
        <w:rPr>
          <w:spacing w:val="-6"/>
        </w:rPr>
        <w:t> </w:t>
      </w:r>
      <w:r>
        <w:rPr/>
        <w:t>korun</w:t>
      </w:r>
      <w:r>
        <w:rPr>
          <w:spacing w:val="-6"/>
        </w:rPr>
        <w:t> </w:t>
      </w:r>
      <w:r>
        <w:rPr>
          <w:spacing w:val="-2"/>
        </w:rPr>
        <w:t>českých).</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1 076 900,00 Kč.</w:t>
      </w:r>
    </w:p>
    <w:p>
      <w:pPr>
        <w:pStyle w:val="ListParagraph"/>
        <w:numPr>
          <w:ilvl w:val="0"/>
          <w:numId w:val="2"/>
        </w:numPr>
        <w:tabs>
          <w:tab w:pos="526" w:val="left" w:leader="none"/>
        </w:tabs>
        <w:spacing w:line="240" w:lineRule="auto" w:before="119"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3"/>
          <w:sz w:val="20"/>
        </w:rPr>
        <w:t> </w:t>
      </w:r>
      <w:r>
        <w:rPr>
          <w:sz w:val="20"/>
        </w:rPr>
        <w:t>základu</w:t>
      </w:r>
      <w:r>
        <w:rPr>
          <w:spacing w:val="-4"/>
          <w:sz w:val="20"/>
        </w:rPr>
        <w:t> </w:t>
      </w:r>
      <w:r>
        <w:rPr>
          <w:sz w:val="20"/>
        </w:rPr>
        <w:t>pro</w:t>
      </w:r>
      <w:r>
        <w:rPr>
          <w:spacing w:val="-1"/>
          <w:sz w:val="20"/>
        </w:rPr>
        <w:t> </w:t>
      </w:r>
      <w:r>
        <w:rPr>
          <w:sz w:val="20"/>
        </w:rPr>
        <w:t>stanovení</w:t>
      </w:r>
      <w:r>
        <w:rPr>
          <w:spacing w:val="-1"/>
          <w:sz w:val="20"/>
        </w:rPr>
        <w:t> </w:t>
      </w:r>
      <w:r>
        <w:rPr>
          <w:sz w:val="20"/>
        </w:rPr>
        <w:t>podpory,</w:t>
      </w:r>
      <w:r>
        <w:rPr>
          <w:spacing w:val="-3"/>
          <w:sz w:val="20"/>
        </w:rPr>
        <w:t> </w:t>
      </w:r>
      <w:r>
        <w:rPr>
          <w:sz w:val="20"/>
        </w:rPr>
        <w:t>tj.</w:t>
      </w:r>
      <w:r>
        <w:rPr>
          <w:spacing w:val="-4"/>
          <w:sz w:val="20"/>
        </w:rPr>
        <w:t> </w:t>
      </w:r>
      <w:r>
        <w:rPr>
          <w:sz w:val="20"/>
        </w:rPr>
        <w:t>z</w:t>
      </w:r>
      <w:r>
        <w:rPr>
          <w:spacing w:val="-4"/>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4"/>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34"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34"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34"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3" w:hanging="284"/>
        <w:jc w:val="left"/>
        <w:rPr>
          <w:sz w:val="20"/>
        </w:rPr>
      </w:pPr>
      <w:r>
        <w:rPr>
          <w:sz w:val="20"/>
        </w:rPr>
        <w:t>se</w:t>
      </w:r>
      <w:r>
        <w:rPr>
          <w:spacing w:val="-6"/>
          <w:sz w:val="20"/>
        </w:rPr>
        <w:t> </w:t>
      </w:r>
      <w:r>
        <w:rPr>
          <w:sz w:val="20"/>
        </w:rPr>
        <w:t>zavazuje</w:t>
      </w:r>
      <w:r>
        <w:rPr>
          <w:spacing w:val="-5"/>
          <w:sz w:val="20"/>
        </w:rPr>
        <w:t> </w:t>
      </w:r>
      <w:r>
        <w:rPr>
          <w:sz w:val="20"/>
        </w:rPr>
        <w:t>splnit</w:t>
      </w:r>
      <w:r>
        <w:rPr>
          <w:spacing w:val="-5"/>
          <w:sz w:val="20"/>
        </w:rPr>
        <w:t> </w:t>
      </w:r>
      <w:r>
        <w:rPr>
          <w:sz w:val="20"/>
        </w:rPr>
        <w:t>účel</w:t>
      </w:r>
      <w:r>
        <w:rPr>
          <w:spacing w:val="-2"/>
          <w:sz w:val="20"/>
        </w:rPr>
        <w:t> </w:t>
      </w:r>
      <w:r>
        <w:rPr>
          <w:sz w:val="20"/>
        </w:rPr>
        <w:t>spočívající</w:t>
      </w:r>
      <w:r>
        <w:rPr>
          <w:spacing w:val="-4"/>
          <w:sz w:val="20"/>
        </w:rPr>
        <w:t> </w:t>
      </w:r>
      <w:r>
        <w:rPr>
          <w:sz w:val="20"/>
        </w:rPr>
        <w:t>v</w:t>
      </w:r>
      <w:r>
        <w:rPr>
          <w:spacing w:val="-3"/>
          <w:sz w:val="20"/>
        </w:rPr>
        <w:t> </w:t>
      </w:r>
      <w:r>
        <w:rPr>
          <w:sz w:val="20"/>
        </w:rPr>
        <w:t>odstranění</w:t>
      </w:r>
      <w:r>
        <w:rPr>
          <w:spacing w:val="-5"/>
          <w:sz w:val="20"/>
        </w:rPr>
        <w:t> </w:t>
      </w:r>
      <w:r>
        <w:rPr>
          <w:sz w:val="20"/>
        </w:rPr>
        <w:t>následků povodní</w:t>
      </w:r>
      <w:r>
        <w:rPr>
          <w:spacing w:val="-4"/>
          <w:sz w:val="20"/>
        </w:rPr>
        <w:t> </w:t>
      </w:r>
      <w:r>
        <w:rPr>
          <w:sz w:val="20"/>
        </w:rPr>
        <w:t>v</w:t>
      </w:r>
      <w:r>
        <w:rPr>
          <w:spacing w:val="-3"/>
          <w:sz w:val="20"/>
        </w:rPr>
        <w:t> </w:t>
      </w:r>
      <w:r>
        <w:rPr>
          <w:sz w:val="20"/>
        </w:rPr>
        <w:t>rámci</w:t>
      </w:r>
      <w:r>
        <w:rPr>
          <w:spacing w:val="-4"/>
          <w:sz w:val="20"/>
        </w:rPr>
        <w:t> </w:t>
      </w:r>
      <w:r>
        <w:rPr>
          <w:sz w:val="20"/>
        </w:rPr>
        <w:t>akce</w:t>
      </w:r>
      <w:r>
        <w:rPr>
          <w:spacing w:val="-5"/>
          <w:sz w:val="20"/>
        </w:rPr>
        <w:t> </w:t>
      </w:r>
      <w:r>
        <w:rPr>
          <w:sz w:val="20"/>
        </w:rPr>
        <w:t>„Obnova</w:t>
      </w:r>
      <w:r>
        <w:rPr>
          <w:spacing w:val="-4"/>
          <w:sz w:val="20"/>
        </w:rPr>
        <w:t> </w:t>
      </w:r>
      <w:r>
        <w:rPr>
          <w:sz w:val="20"/>
        </w:rPr>
        <w:t>kanalizačních výustí v obci Kujavy po povodních 2024“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0" w:hanging="284"/>
        <w:jc w:val="left"/>
        <w:rPr>
          <w:sz w:val="20"/>
        </w:rPr>
      </w:pPr>
      <w:r>
        <w:rPr>
          <w:sz w:val="20"/>
        </w:rPr>
        <w:t>bude</w:t>
      </w:r>
      <w:r>
        <w:rPr>
          <w:spacing w:val="18"/>
          <w:sz w:val="20"/>
        </w:rPr>
        <w:t> </w:t>
      </w:r>
      <w:r>
        <w:rPr>
          <w:sz w:val="20"/>
        </w:rPr>
        <w:t>obnoven</w:t>
      </w:r>
      <w:r>
        <w:rPr>
          <w:spacing w:val="19"/>
          <w:sz w:val="20"/>
        </w:rPr>
        <w:t> </w:t>
      </w:r>
      <w:r>
        <w:rPr>
          <w:sz w:val="20"/>
        </w:rPr>
        <w:t>1</w:t>
      </w:r>
      <w:r>
        <w:rPr>
          <w:spacing w:val="19"/>
          <w:sz w:val="20"/>
        </w:rPr>
        <w:t> </w:t>
      </w:r>
      <w:r>
        <w:rPr>
          <w:sz w:val="20"/>
        </w:rPr>
        <w:t>ks</w:t>
      </w:r>
      <w:r>
        <w:rPr>
          <w:spacing w:val="18"/>
          <w:sz w:val="20"/>
        </w:rPr>
        <w:t> </w:t>
      </w:r>
      <w:r>
        <w:rPr>
          <w:sz w:val="20"/>
        </w:rPr>
        <w:t>objektů</w:t>
      </w:r>
      <w:r>
        <w:rPr>
          <w:spacing w:val="19"/>
          <w:sz w:val="20"/>
        </w:rPr>
        <w:t> </w:t>
      </w:r>
      <w:r>
        <w:rPr>
          <w:sz w:val="20"/>
        </w:rPr>
        <w:t>vodohospodářské</w:t>
      </w:r>
      <w:r>
        <w:rPr>
          <w:spacing w:val="17"/>
          <w:sz w:val="20"/>
        </w:rPr>
        <w:t> </w:t>
      </w:r>
      <w:r>
        <w:rPr>
          <w:sz w:val="20"/>
        </w:rPr>
        <w:t>infrastruktury</w:t>
      </w:r>
      <w:r>
        <w:rPr>
          <w:spacing w:val="19"/>
          <w:sz w:val="20"/>
        </w:rPr>
        <w:t> </w:t>
      </w:r>
      <w:r>
        <w:rPr>
          <w:sz w:val="20"/>
        </w:rPr>
        <w:t>(vodovodů</w:t>
      </w:r>
      <w:r>
        <w:rPr>
          <w:spacing w:val="19"/>
          <w:sz w:val="20"/>
        </w:rPr>
        <w:t> </w:t>
      </w:r>
      <w:r>
        <w:rPr>
          <w:sz w:val="20"/>
        </w:rPr>
        <w:t>a</w:t>
      </w:r>
      <w:r>
        <w:rPr>
          <w:spacing w:val="18"/>
          <w:sz w:val="20"/>
        </w:rPr>
        <w:t> </w:t>
      </w:r>
      <w:r>
        <w:rPr>
          <w:sz w:val="20"/>
        </w:rPr>
        <w:t>kanalizací</w:t>
      </w:r>
      <w:r>
        <w:rPr>
          <w:spacing w:val="19"/>
          <w:sz w:val="20"/>
        </w:rPr>
        <w:t> </w:t>
      </w:r>
      <w:r>
        <w:rPr>
          <w:sz w:val="20"/>
        </w:rPr>
        <w:t>dle</w:t>
      </w:r>
      <w:r>
        <w:rPr>
          <w:spacing w:val="17"/>
          <w:sz w:val="20"/>
        </w:rPr>
        <w:t> </w:t>
      </w:r>
      <w:r>
        <w:rPr>
          <w:sz w:val="20"/>
        </w:rPr>
        <w:t>zákona</w:t>
      </w:r>
      <w:r>
        <w:rPr>
          <w:spacing w:val="19"/>
          <w:sz w:val="20"/>
        </w:rPr>
        <w:t> </w:t>
      </w:r>
      <w:r>
        <w:rPr>
          <w:spacing w:val="-5"/>
          <w:sz w:val="20"/>
        </w:rPr>
        <w:t>č.</w:t>
      </w:r>
    </w:p>
    <w:p>
      <w:pPr>
        <w:pStyle w:val="BodyText"/>
        <w:ind w:left="808"/>
      </w:pPr>
      <w:r>
        <w:rPr/>
        <w:t>274/2001</w:t>
      </w:r>
      <w:r>
        <w:rPr>
          <w:spacing w:val="-5"/>
        </w:rPr>
        <w:t> </w:t>
      </w:r>
      <w:r>
        <w:rPr/>
        <w:t>Sb.,</w:t>
      </w:r>
      <w:r>
        <w:rPr>
          <w:spacing w:val="-6"/>
        </w:rPr>
        <w:t> </w:t>
      </w:r>
      <w:r>
        <w:rPr/>
        <w:t>o</w:t>
      </w:r>
      <w:r>
        <w:rPr>
          <w:spacing w:val="-5"/>
        </w:rPr>
        <w:t> </w:t>
      </w:r>
      <w:r>
        <w:rPr/>
        <w:t>vodovodech</w:t>
      </w:r>
      <w:r>
        <w:rPr>
          <w:spacing w:val="-6"/>
        </w:rPr>
        <w:t> </w:t>
      </w:r>
      <w:r>
        <w:rPr/>
        <w:t>a</w:t>
      </w:r>
      <w:r>
        <w:rPr>
          <w:spacing w:val="-7"/>
        </w:rPr>
        <w:t> </w:t>
      </w:r>
      <w:r>
        <w:rPr/>
        <w:t>kanalizacích)</w:t>
      </w:r>
      <w:r>
        <w:rPr>
          <w:spacing w:val="-6"/>
        </w:rPr>
        <w:t> </w:t>
      </w:r>
      <w:r>
        <w:rPr/>
        <w:t>a</w:t>
      </w:r>
      <w:r>
        <w:rPr>
          <w:spacing w:val="-6"/>
        </w:rPr>
        <w:t> </w:t>
      </w:r>
      <w:r>
        <w:rPr/>
        <w:t>dešťové</w:t>
      </w:r>
      <w:r>
        <w:rPr>
          <w:spacing w:val="-5"/>
        </w:rPr>
        <w:t> </w:t>
      </w:r>
      <w:r>
        <w:rPr>
          <w:spacing w:val="-2"/>
        </w:rPr>
        <w:t>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se zavazuje doložit k ZVA k</w:t>
      </w:r>
      <w:r>
        <w:rPr>
          <w:spacing w:val="-2"/>
          <w:sz w:val="20"/>
        </w:rPr>
        <w:t> </w:t>
      </w:r>
      <w:r>
        <w:rPr>
          <w:sz w:val="20"/>
        </w:rPr>
        <w:t>předmětným výustím relevantní rozhodnutí (povolení k vypouštění odpadních vod) dle zákona č. 274/2001 Sb., o vodovodech a kanalizacích, ve znění pozdějších </w:t>
      </w:r>
      <w:r>
        <w:rPr>
          <w:spacing w:val="-2"/>
          <w:sz w:val="20"/>
        </w:rPr>
        <w:t>předpisů.</w:t>
      </w:r>
    </w:p>
    <w:p>
      <w:pPr>
        <w:pStyle w:val="BodyText"/>
        <w:spacing w:before="121"/>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1"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18"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spacing w:after="0" w:line="240" w:lineRule="auto"/>
        <w:jc w:val="both"/>
        <w:rPr>
          <w:sz w:val="20"/>
        </w:rPr>
        <w:sectPr>
          <w:type w:val="continuous"/>
          <w:pgSz w:w="12240" w:h="15840"/>
          <w:pgMar w:header="0" w:footer="1434" w:top="1480" w:bottom="1620" w:left="1460" w:right="1020"/>
        </w:sectPr>
      </w:pPr>
    </w:p>
    <w:p>
      <w:pPr>
        <w:pStyle w:val="ListParagraph"/>
        <w:numPr>
          <w:ilvl w:val="1"/>
          <w:numId w:val="4"/>
        </w:numPr>
        <w:tabs>
          <w:tab w:pos="809" w:val="left" w:leader="none"/>
        </w:tabs>
        <w:spacing w:line="240" w:lineRule="auto" w:before="73" w:after="0"/>
        <w:ind w:left="808" w:right="111"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2"/>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21"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19"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22"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18"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spacing w:before="1"/>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rPr>
          <w:sz w:val="36"/>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3"/>
        <w:ind w:left="0"/>
        <w:rPr>
          <w:b/>
          <w:sz w:val="17"/>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21"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w:t>
      </w:r>
      <w:r>
        <w:rPr>
          <w:spacing w:val="-1"/>
          <w:sz w:val="20"/>
        </w:rPr>
        <w:t> </w:t>
      </w:r>
      <w:r>
        <w:rPr>
          <w:sz w:val="20"/>
        </w:rPr>
        <w:t>za první nebo druhou odrážkou,</w:t>
      </w:r>
      <w:r>
        <w:rPr>
          <w:spacing w:val="40"/>
          <w:sz w:val="20"/>
        </w:rPr>
        <w:t> </w:t>
      </w:r>
      <w:r>
        <w:rPr>
          <w:sz w:val="20"/>
        </w:rPr>
        <w:t>písm. b) za první odrážkou nebo písm. c) za čtvrtou odrážkou bude postiženo odvodem ve výši 100 % z poskytnuté podpory.</w:t>
      </w:r>
    </w:p>
    <w:p>
      <w:pPr>
        <w:pStyle w:val="ListParagraph"/>
        <w:numPr>
          <w:ilvl w:val="0"/>
          <w:numId w:val="6"/>
        </w:numPr>
        <w:tabs>
          <w:tab w:pos="526" w:val="left" w:leader="none"/>
        </w:tabs>
        <w:spacing w:line="240" w:lineRule="auto" w:before="119"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22"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18"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34" w:top="1060" w:bottom="1660" w:left="1460" w:right="1020"/>
        </w:sectPr>
      </w:pPr>
    </w:p>
    <w:p>
      <w:pPr>
        <w:pStyle w:val="Heading1"/>
        <w:spacing w:before="73"/>
        <w:ind w:right="1059"/>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691" w:val="left" w:leader="none"/>
        </w:tabs>
        <w:spacing w:before="1"/>
        <w:ind w:left="242"/>
      </w:pPr>
      <w:r>
        <w:rPr>
          <w:spacing w:val="-5"/>
        </w:rPr>
        <w:t>V:</w:t>
      </w:r>
      <w:r>
        <w:rPr/>
        <w:tab/>
        <w:t>V</w:t>
      </w:r>
      <w:r>
        <w:rPr>
          <w:spacing w:val="-5"/>
        </w:rPr>
        <w:t> </w:t>
      </w:r>
      <w:r>
        <w:rPr/>
        <w:t>Praze</w:t>
      </w:r>
      <w:r>
        <w:rPr>
          <w:spacing w:val="18"/>
        </w:rPr>
        <w:t> </w:t>
      </w:r>
      <w:r>
        <w:rPr>
          <w:spacing w:val="-4"/>
        </w:rPr>
        <w:t>dne:</w:t>
      </w:r>
    </w:p>
    <w:p>
      <w:pPr>
        <w:pStyle w:val="BodyText"/>
        <w:ind w:left="0"/>
        <w:rPr>
          <w:sz w:val="18"/>
        </w:rPr>
      </w:pPr>
    </w:p>
    <w:p>
      <w:pPr>
        <w:pStyle w:val="BodyText"/>
        <w:spacing w:before="1"/>
        <w:ind w:left="242"/>
      </w:pPr>
      <w:r>
        <w:rPr>
          <w:spacing w:val="-4"/>
        </w:rPr>
        <w:t>dne:</w:t>
      </w:r>
    </w:p>
    <w:p>
      <w:pPr>
        <w:pStyle w:val="BodyText"/>
        <w:ind w:left="0"/>
        <w:rPr>
          <w:sz w:val="26"/>
        </w:rPr>
      </w:pPr>
    </w:p>
    <w:p>
      <w:pPr>
        <w:pStyle w:val="BodyText"/>
        <w:ind w:left="0"/>
        <w:rPr>
          <w:sz w:val="26"/>
        </w:rPr>
      </w:pPr>
    </w:p>
    <w:p>
      <w:pPr>
        <w:pStyle w:val="BodyText"/>
        <w:spacing w:before="2"/>
        <w:ind w:left="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ind w:left="0"/>
        <w:rPr>
          <w:sz w:val="37"/>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34" w:top="1060" w:bottom="162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2"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5"/>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34"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3"/>
                <w:sz w:val="20"/>
              </w:rPr>
              <w:t> </w:t>
            </w:r>
            <w:r>
              <w:rPr>
                <w:sz w:val="20"/>
              </w:rPr>
              <w:t>rozdělil</w:t>
            </w:r>
            <w:r>
              <w:rPr>
                <w:spacing w:val="-3"/>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34"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4"/>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0"/>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34"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34"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6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2025-05-05T09:39:46Z</dcterms:created>
  <dcterms:modified xsi:type="dcterms:W3CDTF">2025-05-05T09:39:46Z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pro Microsoft 365</vt:lpwstr>
  </property>
  <property fmtid="{D5CDD505-2E9C-101B-9397-08002B2CF9AE}" pid="4" name="LastSaved">
    <vt:filetime>2025-05-05T00:00:00Z</vt:filetime>
  </property>
</Properties>
</file>