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4DE97934" w:rsidR="003A045F" w:rsidRPr="00EF3CDF" w:rsidRDefault="003A045F" w:rsidP="008B63D9">
      <w:pPr>
        <w:spacing w:after="0" w:line="240" w:lineRule="auto"/>
        <w:ind w:left="284" w:right="260"/>
        <w:jc w:val="both"/>
        <w:rPr>
          <w:rFonts w:cs="Arial"/>
        </w:rPr>
      </w:pPr>
      <w:r w:rsidRPr="00EF3CDF">
        <w:rPr>
          <w:rFonts w:cs="Arial"/>
        </w:rPr>
        <w:t>zastoupen</w:t>
      </w:r>
      <w:r w:rsidR="00AD1F84">
        <w:rPr>
          <w:rFonts w:cs="Arial"/>
        </w:rPr>
        <w:t>o</w:t>
      </w:r>
      <w:r w:rsidRPr="00EF3CDF">
        <w:rPr>
          <w:rFonts w:cs="Arial"/>
        </w:rPr>
        <w:t xml:space="preserve"> Ing. Jiřím </w:t>
      </w:r>
      <w:proofErr w:type="spellStart"/>
      <w:r w:rsidRPr="00EF3CDF">
        <w:rPr>
          <w:rFonts w:cs="Arial"/>
        </w:rPr>
        <w:t>Holnou</w:t>
      </w:r>
      <w:proofErr w:type="spellEnd"/>
      <w:r w:rsidRPr="00EF3CDF">
        <w:rPr>
          <w:rFonts w:cs="Arial"/>
        </w:rPr>
        <w:t>, jednatelem,</w:t>
      </w:r>
      <w:r w:rsidR="008109B4" w:rsidRPr="00EF3CDF">
        <w:rPr>
          <w:rFonts w:cs="Arial"/>
        </w:rPr>
        <w:t xml:space="preserve"> </w:t>
      </w:r>
    </w:p>
    <w:p w14:paraId="06039BC8" w14:textId="4348070F"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004D2B8F">
        <w:rPr>
          <w:rFonts w:cs="Arial"/>
          <w:b/>
        </w:rPr>
        <w:t>XXXXX</w:t>
      </w:r>
      <w:r w:rsidRPr="00EF3CDF">
        <w:rPr>
          <w:rStyle w:val="platne1"/>
          <w:rFonts w:cs="Arial"/>
        </w:rPr>
        <w:t xml:space="preserve">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60B85D9" w14:textId="3E57113E" w:rsidR="00A007AF" w:rsidRDefault="00BB79C5" w:rsidP="00A007AF">
      <w:pPr>
        <w:spacing w:before="240" w:after="0"/>
        <w:ind w:left="284" w:right="260"/>
        <w:jc w:val="both"/>
        <w:rPr>
          <w:b/>
        </w:rPr>
      </w:pPr>
      <w:bookmarkStart w:id="0" w:name="jmeno_firmy"/>
      <w:bookmarkEnd w:id="0"/>
      <w:r>
        <w:rPr>
          <w:b/>
        </w:rPr>
        <w:t>Město Vyškov</w:t>
      </w:r>
      <w:r w:rsidR="00A007AF">
        <w:rPr>
          <w:b/>
        </w:rPr>
        <w:t>,</w:t>
      </w:r>
    </w:p>
    <w:p w14:paraId="031A90CE" w14:textId="769BADCE" w:rsidR="00A007AF" w:rsidRDefault="00A007AF" w:rsidP="00A007AF">
      <w:pPr>
        <w:spacing w:after="0"/>
        <w:ind w:left="284" w:right="260"/>
        <w:jc w:val="both"/>
      </w:pPr>
      <w:r>
        <w:rPr>
          <w:rFonts w:cs="Arial"/>
        </w:rPr>
        <w:t xml:space="preserve">se sídlem </w:t>
      </w:r>
      <w:bookmarkStart w:id="1" w:name="ulice"/>
      <w:bookmarkEnd w:id="1"/>
      <w:r w:rsidR="00BB79C5">
        <w:rPr>
          <w:rFonts w:cs="Arial"/>
        </w:rPr>
        <w:t>Masarykovo náměstí 108/1</w:t>
      </w:r>
      <w:r>
        <w:rPr>
          <w:rFonts w:cs="Arial"/>
        </w:rPr>
        <w:t>,</w:t>
      </w:r>
      <w:bookmarkStart w:id="2" w:name="mesto"/>
      <w:bookmarkEnd w:id="2"/>
      <w:r w:rsidR="002313EC">
        <w:rPr>
          <w:rFonts w:cs="Arial"/>
        </w:rPr>
        <w:t xml:space="preserve"> </w:t>
      </w:r>
      <w:r w:rsidR="00BB79C5">
        <w:rPr>
          <w:rFonts w:cs="Arial"/>
        </w:rPr>
        <w:t>Vyškov</w:t>
      </w:r>
      <w:r>
        <w:rPr>
          <w:rFonts w:cs="Arial"/>
        </w:rPr>
        <w:t>,</w:t>
      </w:r>
      <w:r w:rsidR="00E90F55">
        <w:rPr>
          <w:rFonts w:cs="Arial"/>
        </w:rPr>
        <w:t xml:space="preserve"> PSČ</w:t>
      </w:r>
      <w:r>
        <w:rPr>
          <w:rFonts w:cs="Arial"/>
        </w:rPr>
        <w:t xml:space="preserve"> </w:t>
      </w:r>
      <w:bookmarkStart w:id="3" w:name="psc"/>
      <w:bookmarkEnd w:id="3"/>
      <w:r w:rsidR="00BB79C5">
        <w:rPr>
          <w:rFonts w:cs="Arial"/>
        </w:rPr>
        <w:t>682 01</w:t>
      </w:r>
      <w:r>
        <w:rPr>
          <w:rFonts w:cs="Arial"/>
        </w:rPr>
        <w:t>,</w:t>
      </w:r>
    </w:p>
    <w:p w14:paraId="2D31E071" w14:textId="5F042D9F" w:rsidR="00A007AF" w:rsidRDefault="00A007AF" w:rsidP="00A007AF">
      <w:pPr>
        <w:spacing w:after="0"/>
        <w:ind w:left="284" w:right="260"/>
        <w:jc w:val="both"/>
      </w:pPr>
      <w:r>
        <w:rPr>
          <w:rFonts w:cs="Arial"/>
        </w:rPr>
        <w:t xml:space="preserve">IČ: </w:t>
      </w:r>
      <w:bookmarkStart w:id="4" w:name="ico"/>
      <w:bookmarkEnd w:id="4"/>
      <w:r w:rsidR="00BB79C5">
        <w:rPr>
          <w:rFonts w:cs="Arial"/>
        </w:rPr>
        <w:t>00292427</w:t>
      </w:r>
      <w:r>
        <w:rPr>
          <w:rFonts w:cs="Arial"/>
        </w:rPr>
        <w:t>, DIČ:</w:t>
      </w:r>
      <w:r>
        <w:t xml:space="preserve"> </w:t>
      </w:r>
      <w:bookmarkStart w:id="5" w:name="dic"/>
      <w:bookmarkEnd w:id="5"/>
      <w:r w:rsidR="00BB79C5">
        <w:t>CZ00292427</w:t>
      </w:r>
      <w:r>
        <w:rPr>
          <w:rFonts w:cs="Arial"/>
        </w:rPr>
        <w:t>,</w:t>
      </w:r>
    </w:p>
    <w:p w14:paraId="6D7C0BF8" w14:textId="45BFCA3C" w:rsidR="00A007AF" w:rsidRDefault="00C93880" w:rsidP="00A007AF">
      <w:pPr>
        <w:spacing w:after="0" w:line="240" w:lineRule="auto"/>
        <w:ind w:left="284" w:right="260"/>
        <w:jc w:val="both"/>
        <w:rPr>
          <w:rFonts w:cs="Arial"/>
        </w:rPr>
      </w:pPr>
      <w:r>
        <w:rPr>
          <w:rFonts w:cs="Arial"/>
        </w:rPr>
        <w:t>z</w:t>
      </w:r>
      <w:r w:rsidR="00A007AF">
        <w:rPr>
          <w:rFonts w:cs="Arial"/>
        </w:rPr>
        <w:t>astoupen</w:t>
      </w:r>
      <w:r>
        <w:rPr>
          <w:rFonts w:cs="Arial"/>
        </w:rPr>
        <w:t xml:space="preserve">o </w:t>
      </w:r>
      <w:bookmarkStart w:id="6" w:name="osoba"/>
      <w:bookmarkEnd w:id="6"/>
      <w:r w:rsidR="001300D8">
        <w:rPr>
          <w:rFonts w:cs="Arial"/>
        </w:rPr>
        <w:t>Karlem Jurkou</w:t>
      </w:r>
      <w:r w:rsidR="00A007AF">
        <w:rPr>
          <w:rFonts w:cs="Arial"/>
        </w:rPr>
        <w:t>,</w:t>
      </w:r>
      <w:r w:rsidR="001300D8">
        <w:rPr>
          <w:rFonts w:cs="Arial"/>
        </w:rPr>
        <w:t xml:space="preserve"> starostou</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31DDA4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346275AE" w14:textId="77777777" w:rsidR="00E11940"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40496CE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5BE49C55" w14:textId="5DD1DAE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období, avšak nikoli dříve, než mu byla uhrazena v plné výši odměna za období.</w:t>
      </w:r>
    </w:p>
    <w:p w14:paraId="6C4E59B8" w14:textId="30B3752C"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163A0986"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Fakturu je poskytovatel oprávněn vystavit nejdříve dva měsíce před začátkem období. Elektronická faktura bude zasílána na email: </w:t>
      </w:r>
      <w:hyperlink r:id="rId9" w:history="1">
        <w:r w:rsidR="004D2B8F">
          <w:rPr>
            <w:rFonts w:cs="Arial"/>
            <w:b/>
          </w:rPr>
          <w:t>XXXXX</w:t>
        </w:r>
        <w:r w:rsidR="001300D8" w:rsidRPr="005949C2">
          <w:rPr>
            <w:rStyle w:val="Hypertextovodkaz"/>
            <w:rFonts w:cs="Arial"/>
          </w:rPr>
          <w:t>@meuvyskov.cz</w:t>
        </w:r>
      </w:hyperlink>
      <w:r w:rsidR="001300D8">
        <w:rPr>
          <w:rFonts w:cs="Arial"/>
        </w:rPr>
        <w:t xml:space="preserve">. </w:t>
      </w:r>
      <w:r>
        <w:rPr>
          <w:rFonts w:cs="Arial"/>
        </w:rPr>
        <w:t xml:space="preserve"> O případné změně emailové adresy je uživatel povinen poskytovatele bezodkladně písemnou formou informovat. </w:t>
      </w:r>
    </w:p>
    <w:p w14:paraId="5D397F16" w14:textId="6151AF96"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7" w:name="splatnost"/>
      <w:bookmarkEnd w:id="7"/>
      <w:r w:rsidR="00BB79C5">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 xml:space="preserve">Beck-online však nezaniká právo </w:t>
      </w:r>
      <w:r w:rsidR="00435F56">
        <w:rPr>
          <w:rFonts w:cs="Arial"/>
        </w:rPr>
        <w:t>p</w:t>
      </w:r>
      <w:r>
        <w:rPr>
          <w:rFonts w:cs="Arial"/>
        </w:rPr>
        <w:t xml:space="preserve">oskytovatele na úhradu </w:t>
      </w:r>
      <w:r w:rsidR="00435F56">
        <w:rPr>
          <w:rFonts w:cs="Arial"/>
        </w:rPr>
        <w:t>o</w:t>
      </w:r>
      <w:r>
        <w:rPr>
          <w:rFonts w:cs="Arial"/>
        </w:rPr>
        <w:t>dměny i za dobu, během které nebyla tato služba poskytována.</w:t>
      </w:r>
    </w:p>
    <w:p w14:paraId="01CD65D5" w14:textId="4D67A8E7" w:rsidR="002313EC" w:rsidRDefault="002313EC">
      <w:pPr>
        <w:spacing w:after="0" w:line="240" w:lineRule="auto"/>
        <w:rPr>
          <w:rFonts w:cs="Arial"/>
        </w:rPr>
      </w:pPr>
      <w:r>
        <w:rPr>
          <w:rFonts w:cs="Arial"/>
        </w:rPr>
        <w:br w:type="page"/>
      </w:r>
    </w:p>
    <w:p w14:paraId="1CC78382"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2263E518" w14:textId="3F4E3DE2" w:rsidR="00677A87" w:rsidRDefault="00677A87" w:rsidP="00677A87">
      <w:pPr>
        <w:pStyle w:val="Odstavecseseznamem"/>
        <w:numPr>
          <w:ilvl w:val="1"/>
          <w:numId w:val="11"/>
        </w:numPr>
        <w:spacing w:after="0" w:line="240" w:lineRule="auto"/>
        <w:ind w:left="709" w:right="260" w:hanging="425"/>
        <w:jc w:val="both"/>
        <w:rPr>
          <w:rFonts w:cs="Arial"/>
        </w:rPr>
      </w:pPr>
      <w:r>
        <w:rPr>
          <w:rFonts w:cs="Arial"/>
        </w:rPr>
        <w:t xml:space="preserve">Tato smlouva nabývá platnosti dnem jejího podpisu oběma smluvními stranami a účinnosti dnem zveřejnění v registru smluv podle zákona č. 340/2015 Sb., </w:t>
      </w:r>
      <w:r w:rsidR="004E0E59" w:rsidRPr="004E0E59">
        <w:rPr>
          <w:rFonts w:cs="Arial"/>
        </w:rPr>
        <w:t>o zvláštních podmínkách účinnosti některých smluv, uveřejňování těchto smluv a o registru smluv (zákon o registru smluv)</w:t>
      </w:r>
      <w:r>
        <w:rPr>
          <w:rFonts w:cs="Arial"/>
        </w:rPr>
        <w:t>, ve znění pozdějších předpisů.</w:t>
      </w:r>
    </w:p>
    <w:p w14:paraId="6D588775" w14:textId="197D1359" w:rsidR="00677A87" w:rsidRDefault="00677A87" w:rsidP="00677A87">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B95E2F" w:rsidRPr="001300D8">
        <w:t>01.05.2025</w:t>
      </w:r>
      <w:r w:rsidR="001300D8">
        <w:t xml:space="preserve"> </w:t>
      </w:r>
      <w:r>
        <w:t>a veškerá svá vzájemná plnění poskytnutá od tohoto data do dne nabytí účinnosti této smlouvy považují za plnění poskytnutá podle této smlouvy.</w:t>
      </w:r>
    </w:p>
    <w:p w14:paraId="36F283B2" w14:textId="6E5C0F60"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8" w:name="doba_trvani"/>
      <w:bookmarkEnd w:id="8"/>
      <w:r w:rsidR="00BB79C5">
        <w:rPr>
          <w:rFonts w:cs="Arial"/>
          <w:b/>
        </w:rPr>
        <w:t xml:space="preserve">určitou, a to do </w:t>
      </w:r>
      <w:r w:rsidR="00A44277" w:rsidRPr="001300D8">
        <w:rPr>
          <w:rFonts w:cs="Arial"/>
          <w:b/>
        </w:rPr>
        <w:t>30. 04. 2026</w:t>
      </w:r>
      <w:r>
        <w:rPr>
          <w:rFonts w:cs="Arial"/>
        </w:rPr>
        <w:t>.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10" w:history="1">
        <w:r>
          <w:rPr>
            <w:rStyle w:val="Hypertextovodkaz"/>
            <w:rFonts w:cs="Arial"/>
          </w:rPr>
          <w:t>www.beck-online.cz</w:t>
        </w:r>
      </w:hyperlink>
      <w:r>
        <w:rPr>
          <w:rFonts w:cs="Arial"/>
        </w:rPr>
        <w:t>.</w:t>
      </w:r>
    </w:p>
    <w:p w14:paraId="628B2E5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605A6A24" w14:textId="1940F706"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Úvodní zaškolení musí povinně absolvovat všechny osoby v režimu pilotního provozu, a to nejpozději do</w:t>
      </w:r>
      <w:r w:rsidR="0050486E">
        <w:rPr>
          <w:rFonts w:cs="Arial"/>
        </w:rPr>
        <w:t xml:space="preserve"> dvou</w:t>
      </w:r>
      <w:r>
        <w:rPr>
          <w:rFonts w:cs="Arial"/>
        </w:rPr>
        <w:t xml:space="preserve"> měsíců od začátku předplaceného období. </w:t>
      </w:r>
      <w:r w:rsidR="00862F0D">
        <w:rPr>
          <w:rFonts w:cs="Arial"/>
        </w:rPr>
        <w:t>Toto zaškolení provede poskytovatel zdarma.</w:t>
      </w:r>
    </w:p>
    <w:p w14:paraId="216EBF73" w14:textId="795681D4" w:rsidR="00862F0D" w:rsidRDefault="000161B0" w:rsidP="00E11940">
      <w:pPr>
        <w:pStyle w:val="Odstavecseseznamem"/>
        <w:numPr>
          <w:ilvl w:val="1"/>
          <w:numId w:val="11"/>
        </w:numPr>
        <w:spacing w:before="120" w:after="0" w:line="240" w:lineRule="auto"/>
        <w:ind w:left="709" w:right="260" w:hanging="425"/>
        <w:jc w:val="both"/>
        <w:rPr>
          <w:rFonts w:cs="Arial"/>
        </w:rPr>
      </w:pPr>
      <w:r>
        <w:rPr>
          <w:rFonts w:cs="Arial"/>
        </w:rPr>
        <w:t>Uživatel a poskytovatel se dohodli na uskutečnění dvou bilančních schůzek v průběhu pilotního provozu.</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0E25C574" w14:textId="61D8B8C0" w:rsidR="00C24759" w:rsidRDefault="00C24759" w:rsidP="00E11940">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sidR="00E17240">
        <w:rPr>
          <w:rFonts w:cs="Arial"/>
        </w:rPr>
        <w:t>.</w:t>
      </w:r>
    </w:p>
    <w:p w14:paraId="3BE756C3" w14:textId="6FEA64B1"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69AA94E5" w14:textId="338F0060" w:rsidR="00E11940" w:rsidRDefault="00E11940" w:rsidP="00E11940">
      <w:pPr>
        <w:tabs>
          <w:tab w:val="left" w:pos="5387"/>
        </w:tabs>
        <w:spacing w:before="240" w:after="0" w:line="240" w:lineRule="auto"/>
        <w:ind w:left="284" w:right="260"/>
        <w:jc w:val="both"/>
        <w:rPr>
          <w:rFonts w:cs="Arial"/>
        </w:rPr>
      </w:pPr>
      <w:r>
        <w:rPr>
          <w:rFonts w:cs="Arial"/>
        </w:rPr>
        <w:t xml:space="preserve">V Praze </w:t>
      </w:r>
      <w:r w:rsidR="00892E1A">
        <w:rPr>
          <w:rFonts w:cs="Arial"/>
        </w:rPr>
        <w:t>podle dne el. podpisu</w:t>
      </w:r>
      <w:r>
        <w:rPr>
          <w:rFonts w:cs="Arial"/>
        </w:rPr>
        <w:tab/>
        <w:t>V</w:t>
      </w:r>
      <w:bookmarkStart w:id="9" w:name="mesto_firmy1"/>
      <w:bookmarkEnd w:id="9"/>
      <w:r w:rsidR="002313EC">
        <w:rPr>
          <w:rFonts w:cs="Arial"/>
        </w:rPr>
        <w:t xml:space="preserve">e </w:t>
      </w:r>
      <w:r w:rsidR="00BB79C5">
        <w:rPr>
          <w:rFonts w:cs="Arial"/>
        </w:rPr>
        <w:t>Vyškov</w:t>
      </w:r>
      <w:r w:rsidR="002313EC">
        <w:rPr>
          <w:rFonts w:cs="Arial"/>
        </w:rPr>
        <w:t>ě</w:t>
      </w:r>
      <w:r>
        <w:rPr>
          <w:rFonts w:cs="Arial"/>
        </w:rPr>
        <w:t xml:space="preserve"> </w:t>
      </w:r>
      <w:r w:rsidR="00892E1A">
        <w:rPr>
          <w:rFonts w:cs="Arial"/>
        </w:rPr>
        <w:t>podle dne el. podpisu</w:t>
      </w:r>
    </w:p>
    <w:p w14:paraId="501F0A9A" w14:textId="536889E7" w:rsidR="00E11940" w:rsidRDefault="00884C85" w:rsidP="00E11940">
      <w:pPr>
        <w:tabs>
          <w:tab w:val="left" w:pos="5387"/>
        </w:tabs>
        <w:spacing w:after="0" w:line="240" w:lineRule="auto"/>
        <w:ind w:left="284" w:right="118"/>
        <w:jc w:val="both"/>
        <w:rPr>
          <w:rFonts w:cs="Arial"/>
        </w:rPr>
      </w:pPr>
      <w:r>
        <w:rPr>
          <w:rFonts w:cs="Arial"/>
        </w:rPr>
        <w:t>29. dubna 2025                                                                           30. dubna 2025</w:t>
      </w:r>
      <w:bookmarkStart w:id="10" w:name="_GoBack"/>
      <w:bookmarkEnd w:id="10"/>
    </w:p>
    <w:p w14:paraId="3126D62D" w14:textId="77777777" w:rsidR="002313EC" w:rsidRDefault="002313EC" w:rsidP="00E11940">
      <w:pPr>
        <w:tabs>
          <w:tab w:val="left" w:pos="5387"/>
        </w:tabs>
        <w:spacing w:after="0" w:line="240" w:lineRule="auto"/>
        <w:ind w:left="284" w:right="118"/>
        <w:jc w:val="both"/>
        <w:rPr>
          <w:rFonts w:cs="Arial"/>
        </w:rPr>
      </w:pPr>
    </w:p>
    <w:p w14:paraId="42F9F241" w14:textId="77777777" w:rsidR="002313EC" w:rsidRDefault="002313EC" w:rsidP="00E11940">
      <w:pPr>
        <w:tabs>
          <w:tab w:val="left" w:pos="5387"/>
        </w:tabs>
        <w:spacing w:after="0" w:line="240" w:lineRule="auto"/>
        <w:ind w:left="284" w:right="118"/>
        <w:jc w:val="both"/>
        <w:rPr>
          <w:rFonts w:cs="Arial"/>
        </w:rPr>
      </w:pPr>
    </w:p>
    <w:p w14:paraId="778C5D7C" w14:textId="77777777" w:rsidR="002313EC" w:rsidRDefault="002313EC" w:rsidP="00E11940">
      <w:pPr>
        <w:tabs>
          <w:tab w:val="left" w:pos="5387"/>
        </w:tabs>
        <w:spacing w:after="0" w:line="240" w:lineRule="auto"/>
        <w:ind w:left="284" w:right="118"/>
        <w:jc w:val="both"/>
        <w:rPr>
          <w:rFonts w:cs="Arial"/>
        </w:rPr>
      </w:pPr>
    </w:p>
    <w:p w14:paraId="03C2AF13" w14:textId="77777777" w:rsidR="002313EC" w:rsidRDefault="002313EC"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77777777"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32D17160" w14:textId="2D3D4141" w:rsidR="00E11940" w:rsidRDefault="00E11940" w:rsidP="00E11940">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11" w:name="jmeno_firmy2"/>
      <w:bookmarkEnd w:id="11"/>
      <w:r w:rsidR="00BB79C5">
        <w:rPr>
          <w:rFonts w:cs="Arial"/>
          <w:b/>
        </w:rPr>
        <w:t>Město Vyškov</w:t>
      </w:r>
    </w:p>
    <w:p w14:paraId="27F74405" w14:textId="2A82A232" w:rsidR="00E11940" w:rsidRDefault="00E11940" w:rsidP="00E11940">
      <w:pPr>
        <w:tabs>
          <w:tab w:val="left" w:pos="5387"/>
        </w:tabs>
        <w:spacing w:after="0" w:line="240" w:lineRule="auto"/>
        <w:ind w:right="118"/>
        <w:jc w:val="both"/>
        <w:rPr>
          <w:rFonts w:cs="Arial"/>
        </w:rPr>
      </w:pPr>
      <w:r>
        <w:rPr>
          <w:rFonts w:cs="Arial"/>
        </w:rPr>
        <w:t xml:space="preserve">     Ing. Jiří </w:t>
      </w:r>
      <w:proofErr w:type="spellStart"/>
      <w:r>
        <w:rPr>
          <w:rFonts w:cs="Arial"/>
        </w:rPr>
        <w:t>Holna</w:t>
      </w:r>
      <w:proofErr w:type="spellEnd"/>
      <w:r>
        <w:rPr>
          <w:rFonts w:cs="Arial"/>
        </w:rPr>
        <w:t>, jednatel</w:t>
      </w:r>
      <w:r>
        <w:rPr>
          <w:rFonts w:cs="Arial"/>
        </w:rPr>
        <w:tab/>
      </w:r>
      <w:r w:rsidR="001300D8">
        <w:rPr>
          <w:rFonts w:cs="Arial"/>
        </w:rPr>
        <w:t>Karel Jurka, starosta</w:t>
      </w:r>
      <w:r>
        <w:rPr>
          <w:rFonts w:cs="Arial"/>
        </w:rPr>
        <w:t xml:space="preserve"> </w:t>
      </w:r>
    </w:p>
    <w:p w14:paraId="53F94CFB" w14:textId="77777777"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Borders>
          <w:bottom w:val="single" w:sz="4" w:space="0" w:color="auto"/>
        </w:tblBorders>
        <w:tblLook w:val="04A0" w:firstRow="1" w:lastRow="0" w:firstColumn="1" w:lastColumn="0" w:noHBand="0" w:noVBand="1"/>
      </w:tblPr>
      <w:tblGrid>
        <w:gridCol w:w="4820"/>
        <w:gridCol w:w="3945"/>
      </w:tblGrid>
      <w:tr w:rsidR="003224DD" w:rsidRPr="00F53E0F" w14:paraId="4426D21E" w14:textId="77777777" w:rsidTr="002313EC">
        <w:trPr>
          <w:trHeight w:val="254"/>
        </w:trPr>
        <w:tc>
          <w:tcPr>
            <w:tcW w:w="4820" w:type="dxa"/>
            <w:tcBorders>
              <w:bottom w:val="single" w:sz="4" w:space="0" w:color="auto"/>
            </w:tcBorders>
            <w:hideMark/>
          </w:tcPr>
          <w:p w14:paraId="52D17341" w14:textId="275A1C76" w:rsidR="003224DD" w:rsidRPr="00F53E0F" w:rsidRDefault="00E90F55">
            <w:pPr>
              <w:spacing w:after="0" w:line="240" w:lineRule="auto"/>
              <w:ind w:left="33"/>
              <w:rPr>
                <w:b/>
                <w:bCs/>
              </w:rPr>
            </w:pPr>
            <w:bookmarkStart w:id="12" w:name="sl1"/>
            <w:bookmarkStart w:id="13" w:name="sl3" w:colFirst="1" w:colLast="1"/>
            <w:bookmarkEnd w:id="12"/>
            <w:r w:rsidRPr="00F53E0F">
              <w:rPr>
                <w:b/>
                <w:bCs/>
              </w:rPr>
              <w:t>M</w:t>
            </w:r>
            <w:r w:rsidR="00F53E0F" w:rsidRPr="00F53E0F">
              <w:rPr>
                <w:b/>
                <w:bCs/>
              </w:rPr>
              <w:t>odul</w:t>
            </w:r>
          </w:p>
        </w:tc>
        <w:tc>
          <w:tcPr>
            <w:tcW w:w="3945" w:type="dxa"/>
            <w:tcBorders>
              <w:bottom w:val="single" w:sz="4" w:space="0" w:color="auto"/>
            </w:tcBorders>
            <w:hideMark/>
          </w:tcPr>
          <w:p w14:paraId="483F6C34" w14:textId="6FB07BF5" w:rsidR="003224DD" w:rsidRPr="00F53E0F" w:rsidRDefault="002313EC">
            <w:pPr>
              <w:spacing w:after="0" w:line="240" w:lineRule="auto"/>
              <w:rPr>
                <w:b/>
                <w:bCs/>
                <w:color w:val="000000"/>
              </w:rPr>
            </w:pPr>
            <w:bookmarkStart w:id="14" w:name="sl2"/>
            <w:bookmarkEnd w:id="14"/>
            <w:r>
              <w:rPr>
                <w:b/>
                <w:bCs/>
                <w:color w:val="000000"/>
              </w:rPr>
              <w:t>Počet licencí (osob)</w:t>
            </w:r>
          </w:p>
        </w:tc>
      </w:tr>
      <w:tr w:rsidR="002313EC" w:rsidRPr="002313EC" w14:paraId="40E6F882" w14:textId="77777777" w:rsidTr="002313EC">
        <w:trPr>
          <w:trHeight w:val="254"/>
        </w:trPr>
        <w:tc>
          <w:tcPr>
            <w:tcW w:w="4820" w:type="dxa"/>
            <w:tcBorders>
              <w:top w:val="single" w:sz="4" w:space="0" w:color="auto"/>
              <w:bottom w:val="nil"/>
            </w:tcBorders>
          </w:tcPr>
          <w:p w14:paraId="618CB6E5" w14:textId="77777777" w:rsidR="002313EC" w:rsidRPr="002313EC" w:rsidRDefault="002313EC">
            <w:pPr>
              <w:spacing w:after="0" w:line="240" w:lineRule="auto"/>
              <w:ind w:left="33"/>
            </w:pPr>
            <w:r w:rsidRPr="002313EC">
              <w:t>Beck-online PRO</w:t>
            </w:r>
          </w:p>
        </w:tc>
        <w:tc>
          <w:tcPr>
            <w:tcW w:w="3945" w:type="dxa"/>
            <w:tcBorders>
              <w:top w:val="single" w:sz="4" w:space="0" w:color="auto"/>
              <w:bottom w:val="nil"/>
            </w:tcBorders>
          </w:tcPr>
          <w:p w14:paraId="6E5152EB"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118F06DF" w14:textId="77777777" w:rsidTr="002313EC">
        <w:trPr>
          <w:trHeight w:val="254"/>
        </w:trPr>
        <w:tc>
          <w:tcPr>
            <w:tcW w:w="4820" w:type="dxa"/>
            <w:tcBorders>
              <w:bottom w:val="nil"/>
            </w:tcBorders>
          </w:tcPr>
          <w:p w14:paraId="77D865DF" w14:textId="77777777" w:rsidR="002313EC" w:rsidRPr="002313EC" w:rsidRDefault="002313EC">
            <w:pPr>
              <w:spacing w:after="0" w:line="240" w:lineRule="auto"/>
              <w:ind w:left="33"/>
            </w:pPr>
            <w:r w:rsidRPr="002313EC">
              <w:t>Daňové právo</w:t>
            </w:r>
          </w:p>
        </w:tc>
        <w:tc>
          <w:tcPr>
            <w:tcW w:w="3945" w:type="dxa"/>
            <w:tcBorders>
              <w:bottom w:val="nil"/>
            </w:tcBorders>
          </w:tcPr>
          <w:p w14:paraId="43C90343"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139EF322" w14:textId="77777777" w:rsidTr="002313EC">
        <w:trPr>
          <w:trHeight w:val="254"/>
        </w:trPr>
        <w:tc>
          <w:tcPr>
            <w:tcW w:w="4820" w:type="dxa"/>
            <w:tcBorders>
              <w:bottom w:val="nil"/>
            </w:tcBorders>
          </w:tcPr>
          <w:p w14:paraId="37075135" w14:textId="77777777" w:rsidR="002313EC" w:rsidRPr="002313EC" w:rsidRDefault="002313EC">
            <w:pPr>
              <w:spacing w:after="0" w:line="240" w:lineRule="auto"/>
              <w:ind w:left="33"/>
            </w:pPr>
            <w:r w:rsidRPr="002313EC">
              <w:t>Duševní vlastnictví</w:t>
            </w:r>
          </w:p>
        </w:tc>
        <w:tc>
          <w:tcPr>
            <w:tcW w:w="3945" w:type="dxa"/>
            <w:tcBorders>
              <w:bottom w:val="nil"/>
            </w:tcBorders>
          </w:tcPr>
          <w:p w14:paraId="2EC340F0"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366A07D5" w14:textId="77777777" w:rsidTr="002313EC">
        <w:trPr>
          <w:trHeight w:val="254"/>
        </w:trPr>
        <w:tc>
          <w:tcPr>
            <w:tcW w:w="4820" w:type="dxa"/>
            <w:tcBorders>
              <w:bottom w:val="nil"/>
            </w:tcBorders>
          </w:tcPr>
          <w:p w14:paraId="53E21ED1" w14:textId="77777777" w:rsidR="002313EC" w:rsidRPr="002313EC" w:rsidRDefault="002313EC">
            <w:pPr>
              <w:spacing w:after="0" w:line="240" w:lineRule="auto"/>
              <w:ind w:left="33"/>
            </w:pPr>
            <w:r w:rsidRPr="002313EC">
              <w:t>Finanční právo</w:t>
            </w:r>
          </w:p>
        </w:tc>
        <w:tc>
          <w:tcPr>
            <w:tcW w:w="3945" w:type="dxa"/>
            <w:tcBorders>
              <w:bottom w:val="nil"/>
            </w:tcBorders>
          </w:tcPr>
          <w:p w14:paraId="24C50BFF"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6B7CE44C" w14:textId="77777777" w:rsidTr="002313EC">
        <w:trPr>
          <w:trHeight w:val="254"/>
        </w:trPr>
        <w:tc>
          <w:tcPr>
            <w:tcW w:w="4820" w:type="dxa"/>
            <w:tcBorders>
              <w:bottom w:val="nil"/>
            </w:tcBorders>
          </w:tcPr>
          <w:p w14:paraId="1CBB5A30" w14:textId="77777777" w:rsidR="002313EC" w:rsidRPr="002313EC" w:rsidRDefault="002313EC">
            <w:pPr>
              <w:spacing w:after="0" w:line="240" w:lineRule="auto"/>
              <w:ind w:left="33"/>
            </w:pPr>
            <w:r w:rsidRPr="002313EC">
              <w:t>Justiční a procesní právo PLUS</w:t>
            </w:r>
          </w:p>
        </w:tc>
        <w:tc>
          <w:tcPr>
            <w:tcW w:w="3945" w:type="dxa"/>
            <w:tcBorders>
              <w:bottom w:val="nil"/>
            </w:tcBorders>
          </w:tcPr>
          <w:p w14:paraId="5A7F94D0"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60E1FB46" w14:textId="77777777" w:rsidTr="002313EC">
        <w:trPr>
          <w:trHeight w:val="254"/>
        </w:trPr>
        <w:tc>
          <w:tcPr>
            <w:tcW w:w="4820" w:type="dxa"/>
            <w:tcBorders>
              <w:bottom w:val="nil"/>
            </w:tcBorders>
          </w:tcPr>
          <w:p w14:paraId="314F37AA" w14:textId="77777777" w:rsidR="002313EC" w:rsidRPr="002313EC" w:rsidRDefault="002313EC">
            <w:pPr>
              <w:spacing w:after="0" w:line="240" w:lineRule="auto"/>
              <w:ind w:left="33"/>
            </w:pPr>
            <w:r w:rsidRPr="002313EC">
              <w:t>Občanské právo PLUS</w:t>
            </w:r>
          </w:p>
        </w:tc>
        <w:tc>
          <w:tcPr>
            <w:tcW w:w="3945" w:type="dxa"/>
            <w:tcBorders>
              <w:bottom w:val="nil"/>
            </w:tcBorders>
          </w:tcPr>
          <w:p w14:paraId="47173891"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65E3B21F" w14:textId="77777777" w:rsidTr="002313EC">
        <w:trPr>
          <w:trHeight w:val="254"/>
        </w:trPr>
        <w:tc>
          <w:tcPr>
            <w:tcW w:w="4820" w:type="dxa"/>
            <w:tcBorders>
              <w:bottom w:val="nil"/>
            </w:tcBorders>
          </w:tcPr>
          <w:p w14:paraId="58719C26" w14:textId="77777777" w:rsidR="002313EC" w:rsidRPr="002313EC" w:rsidRDefault="002313EC">
            <w:pPr>
              <w:spacing w:after="0" w:line="240" w:lineRule="auto"/>
              <w:ind w:left="33"/>
            </w:pPr>
            <w:r w:rsidRPr="002313EC">
              <w:t>Obchodní korporace PLUS</w:t>
            </w:r>
          </w:p>
        </w:tc>
        <w:tc>
          <w:tcPr>
            <w:tcW w:w="3945" w:type="dxa"/>
            <w:tcBorders>
              <w:bottom w:val="nil"/>
            </w:tcBorders>
          </w:tcPr>
          <w:p w14:paraId="198030FA"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799A3FA3" w14:textId="77777777" w:rsidTr="002313EC">
        <w:trPr>
          <w:trHeight w:val="254"/>
        </w:trPr>
        <w:tc>
          <w:tcPr>
            <w:tcW w:w="4820" w:type="dxa"/>
            <w:tcBorders>
              <w:bottom w:val="nil"/>
            </w:tcBorders>
          </w:tcPr>
          <w:p w14:paraId="6B353E27" w14:textId="77777777" w:rsidR="002313EC" w:rsidRPr="002313EC" w:rsidRDefault="002313EC">
            <w:pPr>
              <w:spacing w:after="0" w:line="240" w:lineRule="auto"/>
              <w:ind w:left="33"/>
            </w:pPr>
            <w:r w:rsidRPr="002313EC">
              <w:t>Pracovní a sociální právo PLUS</w:t>
            </w:r>
          </w:p>
        </w:tc>
        <w:tc>
          <w:tcPr>
            <w:tcW w:w="3945" w:type="dxa"/>
            <w:tcBorders>
              <w:bottom w:val="nil"/>
            </w:tcBorders>
          </w:tcPr>
          <w:p w14:paraId="749E57C6"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1B4324C0" w14:textId="77777777" w:rsidTr="002313EC">
        <w:trPr>
          <w:trHeight w:val="254"/>
        </w:trPr>
        <w:tc>
          <w:tcPr>
            <w:tcW w:w="4820" w:type="dxa"/>
            <w:tcBorders>
              <w:bottom w:val="nil"/>
            </w:tcBorders>
          </w:tcPr>
          <w:p w14:paraId="2D884208" w14:textId="77777777" w:rsidR="002313EC" w:rsidRPr="002313EC" w:rsidRDefault="002313EC">
            <w:pPr>
              <w:spacing w:after="0" w:line="240" w:lineRule="auto"/>
              <w:ind w:left="33"/>
            </w:pPr>
            <w:r w:rsidRPr="002313EC">
              <w:t>Soutěžní právo</w:t>
            </w:r>
          </w:p>
        </w:tc>
        <w:tc>
          <w:tcPr>
            <w:tcW w:w="3945" w:type="dxa"/>
            <w:tcBorders>
              <w:bottom w:val="nil"/>
            </w:tcBorders>
          </w:tcPr>
          <w:p w14:paraId="5F5A0372"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2D45A566" w14:textId="77777777" w:rsidTr="002313EC">
        <w:trPr>
          <w:trHeight w:val="254"/>
        </w:trPr>
        <w:tc>
          <w:tcPr>
            <w:tcW w:w="4820" w:type="dxa"/>
            <w:tcBorders>
              <w:bottom w:val="nil"/>
            </w:tcBorders>
          </w:tcPr>
          <w:p w14:paraId="79E5A8A5" w14:textId="77777777" w:rsidR="002313EC" w:rsidRPr="002313EC" w:rsidRDefault="002313EC">
            <w:pPr>
              <w:spacing w:after="0" w:line="240" w:lineRule="auto"/>
              <w:ind w:left="33"/>
            </w:pPr>
            <w:r w:rsidRPr="002313EC">
              <w:t>Správní a ústavní právo</w:t>
            </w:r>
          </w:p>
        </w:tc>
        <w:tc>
          <w:tcPr>
            <w:tcW w:w="3945" w:type="dxa"/>
            <w:tcBorders>
              <w:bottom w:val="nil"/>
            </w:tcBorders>
          </w:tcPr>
          <w:p w14:paraId="7A83CC68"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727C5D58" w14:textId="77777777" w:rsidTr="002313EC">
        <w:trPr>
          <w:trHeight w:val="254"/>
        </w:trPr>
        <w:tc>
          <w:tcPr>
            <w:tcW w:w="4820" w:type="dxa"/>
            <w:tcBorders>
              <w:bottom w:val="nil"/>
            </w:tcBorders>
          </w:tcPr>
          <w:p w14:paraId="63E6F805" w14:textId="77777777" w:rsidR="002313EC" w:rsidRPr="002313EC" w:rsidRDefault="002313EC">
            <w:pPr>
              <w:spacing w:after="0" w:line="240" w:lineRule="auto"/>
              <w:ind w:left="33"/>
            </w:pPr>
            <w:r w:rsidRPr="002313EC">
              <w:t>Správní právo - obce a kraje</w:t>
            </w:r>
          </w:p>
        </w:tc>
        <w:tc>
          <w:tcPr>
            <w:tcW w:w="3945" w:type="dxa"/>
            <w:tcBorders>
              <w:bottom w:val="nil"/>
            </w:tcBorders>
          </w:tcPr>
          <w:p w14:paraId="2EC5B9F9"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02F252D1" w14:textId="77777777" w:rsidTr="002313EC">
        <w:trPr>
          <w:trHeight w:val="254"/>
        </w:trPr>
        <w:tc>
          <w:tcPr>
            <w:tcW w:w="4820" w:type="dxa"/>
            <w:tcBorders>
              <w:bottom w:val="nil"/>
            </w:tcBorders>
          </w:tcPr>
          <w:p w14:paraId="2815FBA5" w14:textId="77777777" w:rsidR="002313EC" w:rsidRPr="002313EC" w:rsidRDefault="002313EC">
            <w:pPr>
              <w:spacing w:after="0" w:line="240" w:lineRule="auto"/>
              <w:ind w:left="33"/>
            </w:pPr>
            <w:r w:rsidRPr="002313EC">
              <w:t>Správní právo - stavební právo</w:t>
            </w:r>
          </w:p>
        </w:tc>
        <w:tc>
          <w:tcPr>
            <w:tcW w:w="3945" w:type="dxa"/>
            <w:tcBorders>
              <w:bottom w:val="nil"/>
            </w:tcBorders>
          </w:tcPr>
          <w:p w14:paraId="6E63BA63"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56537D6F" w14:textId="77777777" w:rsidTr="002313EC">
        <w:trPr>
          <w:trHeight w:val="254"/>
        </w:trPr>
        <w:tc>
          <w:tcPr>
            <w:tcW w:w="4820" w:type="dxa"/>
            <w:tcBorders>
              <w:bottom w:val="nil"/>
            </w:tcBorders>
          </w:tcPr>
          <w:p w14:paraId="255FD04D" w14:textId="77777777" w:rsidR="002313EC" w:rsidRPr="002313EC" w:rsidRDefault="002313EC">
            <w:pPr>
              <w:spacing w:after="0" w:line="240" w:lineRule="auto"/>
              <w:ind w:left="33"/>
            </w:pPr>
            <w:r w:rsidRPr="002313EC">
              <w:t>Správní právo - zvláštní předpisy</w:t>
            </w:r>
          </w:p>
        </w:tc>
        <w:tc>
          <w:tcPr>
            <w:tcW w:w="3945" w:type="dxa"/>
            <w:tcBorders>
              <w:bottom w:val="nil"/>
            </w:tcBorders>
          </w:tcPr>
          <w:p w14:paraId="67C6F28A"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tr w:rsidR="002313EC" w:rsidRPr="002313EC" w14:paraId="4BAFEC7C" w14:textId="77777777" w:rsidTr="002313EC">
        <w:trPr>
          <w:trHeight w:val="254"/>
        </w:trPr>
        <w:tc>
          <w:tcPr>
            <w:tcW w:w="4820" w:type="dxa"/>
            <w:tcBorders>
              <w:bottom w:val="nil"/>
            </w:tcBorders>
          </w:tcPr>
          <w:p w14:paraId="5BFFFB57" w14:textId="77777777" w:rsidR="002313EC" w:rsidRPr="002313EC" w:rsidRDefault="002313EC">
            <w:pPr>
              <w:spacing w:after="0" w:line="240" w:lineRule="auto"/>
              <w:ind w:left="33"/>
            </w:pPr>
            <w:r w:rsidRPr="002313EC">
              <w:t>Trestní právo PLUS</w:t>
            </w:r>
          </w:p>
        </w:tc>
        <w:tc>
          <w:tcPr>
            <w:tcW w:w="3945" w:type="dxa"/>
            <w:tcBorders>
              <w:bottom w:val="nil"/>
            </w:tcBorders>
          </w:tcPr>
          <w:p w14:paraId="065A27A7" w14:textId="77777777" w:rsidR="002313EC" w:rsidRPr="002313EC" w:rsidRDefault="002313EC">
            <w:pPr>
              <w:spacing w:after="0" w:line="240" w:lineRule="auto"/>
              <w:rPr>
                <w:rFonts w:eastAsia="Times New Roman" w:cs="Arial"/>
                <w:color w:val="000000"/>
              </w:rPr>
            </w:pPr>
            <w:r w:rsidRPr="002313EC">
              <w:rPr>
                <w:rFonts w:eastAsia="Times New Roman" w:cs="Arial"/>
                <w:color w:val="000000"/>
              </w:rPr>
              <w:t>9</w:t>
            </w:r>
          </w:p>
        </w:tc>
      </w:tr>
      <w:bookmarkEnd w:id="13"/>
    </w:tbl>
    <w:p w14:paraId="2057B0D4" w14:textId="77777777" w:rsidR="003224DD" w:rsidRDefault="003224DD" w:rsidP="003224DD">
      <w:pPr>
        <w:rPr>
          <w:color w:val="E36C0A"/>
        </w:rPr>
      </w:pPr>
    </w:p>
    <w:p w14:paraId="5F276604" w14:textId="77777777" w:rsidR="003224DD" w:rsidRDefault="003224DD" w:rsidP="003224DD">
      <w:pPr>
        <w:ind w:left="709" w:right="260"/>
        <w:jc w:val="both"/>
        <w:rPr>
          <w:rFonts w:cs="Arial"/>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58D8F769" w14:textId="77777777" w:rsidR="003224DD" w:rsidRDefault="003224DD" w:rsidP="003224DD">
      <w:pPr>
        <w:ind w:left="567" w:right="260"/>
        <w:jc w:val="both"/>
        <w:rPr>
          <w:rFonts w:cs="Arial"/>
        </w:rPr>
      </w:pP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33D97E83" w14:textId="77777777" w:rsidR="00435F56" w:rsidRDefault="003224DD" w:rsidP="003224DD">
      <w:pPr>
        <w:pStyle w:val="Odstavecseseznamem"/>
        <w:spacing w:before="120" w:after="0" w:line="240" w:lineRule="auto"/>
        <w:ind w:left="709" w:right="260"/>
        <w:jc w:val="both"/>
        <w:rPr>
          <w:rFonts w:cs="Arial"/>
        </w:rPr>
      </w:pPr>
      <w:r>
        <w:rPr>
          <w:rFonts w:cs="Arial"/>
        </w:rPr>
        <w:t xml:space="preserve">Odměna je sjednána pro období dvanácti po sobě jdoucích kalendářních měsíců (dále jen </w:t>
      </w:r>
      <w:r>
        <w:rPr>
          <w:rFonts w:cs="Arial"/>
          <w:b/>
        </w:rPr>
        <w:t>„období“</w:t>
      </w:r>
      <w:r>
        <w:rPr>
          <w:rFonts w:cs="Arial"/>
        </w:rPr>
        <w:t>).</w:t>
      </w:r>
    </w:p>
    <w:p w14:paraId="6E8F8C63" w14:textId="249B39D5" w:rsidR="003224DD" w:rsidRDefault="00435F56" w:rsidP="003224DD">
      <w:pPr>
        <w:pStyle w:val="Odstavecseseznamem"/>
        <w:spacing w:before="120" w:after="0" w:line="240" w:lineRule="auto"/>
        <w:ind w:left="709" w:right="260"/>
        <w:jc w:val="both"/>
        <w:rPr>
          <w:rFonts w:cs="Arial"/>
        </w:rPr>
      </w:pPr>
      <w:r>
        <w:rPr>
          <w:rFonts w:cs="Arial"/>
        </w:rPr>
        <w:t>O</w:t>
      </w:r>
      <w:r w:rsidR="003224DD">
        <w:rPr>
          <w:rFonts w:cs="Arial"/>
        </w:rPr>
        <w:t>bdobí se sjednává od</w:t>
      </w:r>
      <w:r w:rsidR="003224DD">
        <w:rPr>
          <w:rFonts w:cs="Arial"/>
          <w:b/>
        </w:rPr>
        <w:t xml:space="preserve"> </w:t>
      </w:r>
      <w:bookmarkStart w:id="15" w:name="datum_od"/>
      <w:bookmarkEnd w:id="15"/>
      <w:r w:rsidR="00CB1B64" w:rsidRPr="001300D8">
        <w:rPr>
          <w:rFonts w:cs="Arial"/>
          <w:b/>
        </w:rPr>
        <w:t xml:space="preserve">1. 5. 2025 </w:t>
      </w:r>
      <w:r w:rsidR="00CB1B64" w:rsidRPr="001300D8">
        <w:rPr>
          <w:rFonts w:cs="Arial"/>
          <w:bCs/>
        </w:rPr>
        <w:t xml:space="preserve">do </w:t>
      </w:r>
      <w:r w:rsidR="00CB1B64" w:rsidRPr="001300D8">
        <w:rPr>
          <w:rFonts w:cs="Arial"/>
          <w:b/>
        </w:rPr>
        <w:t xml:space="preserve">30. 4. </w:t>
      </w:r>
      <w:r w:rsidR="00467CBC" w:rsidRPr="001300D8">
        <w:rPr>
          <w:rFonts w:cs="Arial"/>
          <w:b/>
        </w:rPr>
        <w:t>2026</w:t>
      </w:r>
      <w:r w:rsidR="003224DD" w:rsidRPr="00467CBC">
        <w:rPr>
          <w:rFonts w:cs="Arial"/>
          <w:bCs/>
        </w:rPr>
        <w:t>.</w:t>
      </w:r>
    </w:p>
    <w:p w14:paraId="140999BE" w14:textId="3DFC5BA7" w:rsidR="003224DD" w:rsidRDefault="003224DD" w:rsidP="003224DD">
      <w:pPr>
        <w:pStyle w:val="Odstavecseseznamem"/>
        <w:spacing w:before="120" w:after="0" w:line="240" w:lineRule="auto"/>
        <w:ind w:left="709" w:right="260"/>
        <w:jc w:val="both"/>
        <w:rPr>
          <w:rFonts w:cs="Arial"/>
        </w:rPr>
      </w:pPr>
      <w:r>
        <w:rPr>
          <w:rFonts w:cs="Arial"/>
        </w:rPr>
        <w:t>Odměna v průběhu pilotního provozu činí</w:t>
      </w:r>
      <w:r>
        <w:rPr>
          <w:rFonts w:cs="Arial"/>
          <w:b/>
        </w:rPr>
        <w:t xml:space="preserve"> </w:t>
      </w:r>
      <w:bookmarkStart w:id="16" w:name="cena"/>
      <w:bookmarkEnd w:id="16"/>
      <w:r w:rsidR="00BB79C5">
        <w:rPr>
          <w:rFonts w:cs="Arial"/>
          <w:b/>
        </w:rPr>
        <w:t>99 000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0E2F1D">
      <w:headerReference w:type="default" r:id="rId11"/>
      <w:footerReference w:type="default" r:id="rId12"/>
      <w:headerReference w:type="first" r:id="rId13"/>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0999D" w14:textId="77777777" w:rsidR="002644FD" w:rsidRDefault="002644FD" w:rsidP="00547186">
      <w:pPr>
        <w:spacing w:after="0" w:line="240" w:lineRule="auto"/>
      </w:pPr>
      <w:r>
        <w:separator/>
      </w:r>
    </w:p>
  </w:endnote>
  <w:endnote w:type="continuationSeparator" w:id="0">
    <w:p w14:paraId="72B21954" w14:textId="77777777" w:rsidR="002644FD" w:rsidRDefault="002644FD" w:rsidP="00547186">
      <w:pPr>
        <w:spacing w:after="0" w:line="240" w:lineRule="auto"/>
      </w:pPr>
      <w:r>
        <w:continuationSeparator/>
      </w:r>
    </w:p>
  </w:endnote>
  <w:endnote w:type="continuationNotice" w:id="1">
    <w:p w14:paraId="6CACF582" w14:textId="77777777" w:rsidR="002644FD" w:rsidRDefault="00264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AB3E" w14:textId="77777777" w:rsidR="002644FD" w:rsidRDefault="002644FD" w:rsidP="00547186">
      <w:pPr>
        <w:spacing w:after="0" w:line="240" w:lineRule="auto"/>
      </w:pPr>
      <w:r>
        <w:separator/>
      </w:r>
    </w:p>
  </w:footnote>
  <w:footnote w:type="continuationSeparator" w:id="0">
    <w:p w14:paraId="1BB9684B" w14:textId="77777777" w:rsidR="002644FD" w:rsidRDefault="002644FD" w:rsidP="00547186">
      <w:pPr>
        <w:spacing w:after="0" w:line="240" w:lineRule="auto"/>
      </w:pPr>
      <w:r>
        <w:continuationSeparator/>
      </w:r>
    </w:p>
  </w:footnote>
  <w:footnote w:type="continuationNotice" w:id="1">
    <w:p w14:paraId="42113DA2" w14:textId="77777777" w:rsidR="002644FD" w:rsidRDefault="00264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3116" w14:textId="34A8BCE0"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w:t>
    </w:r>
    <w:r w:rsidR="00C80E05">
      <w:rPr>
        <w:rFonts w:ascii="Calibri Light" w:hAnsi="Calibri Light" w:cs="Calibri Light"/>
      </w:rPr>
      <w:t xml:space="preserve">PILOTNÍM PROVOZU </w:t>
    </w:r>
    <w:r w:rsidR="007E3026">
      <w:rPr>
        <w:rFonts w:ascii="Calibri Light" w:hAnsi="Calibri Light" w:cs="Calibri Light"/>
      </w:rPr>
      <w:t>UŽÍVÁNÍ SYSTÉMU BECK-ONLINE Č.</w:t>
    </w:r>
    <w:r w:rsidR="007E3026">
      <w:rPr>
        <w:rFonts w:ascii="Calibri Light" w:hAnsi="Calibri Light" w:cs="Calibri Light"/>
      </w:rPr>
      <w:tab/>
    </w:r>
    <w:bookmarkStart w:id="17" w:name="nazev_dokladu"/>
    <w:bookmarkEnd w:id="17"/>
    <w:r w:rsidR="00BB79C5">
      <w:rPr>
        <w:rFonts w:ascii="Calibri Light" w:hAnsi="Calibri Light" w:cs="Calibri Light"/>
      </w:rPr>
      <w:t>SML_113524</w:t>
    </w:r>
    <w:r w:rsidR="007E3026">
      <w:rPr>
        <w:rFonts w:ascii="Calibri Light" w:hAnsi="Calibri Light" w:cs="Calibri Light"/>
      </w:rPr>
      <w:t>_</w:t>
    </w:r>
    <w:bookmarkStart w:id="18" w:name="smlouva_od"/>
    <w:bookmarkEnd w:id="18"/>
    <w:r w:rsidR="00276146" w:rsidRPr="00276146">
      <w:rPr>
        <w:rFonts w:ascii="Calibri Light" w:hAnsi="Calibri Light" w:cs="Calibri Light"/>
        <w:highlight w:val="yellow"/>
      </w:rPr>
      <w:t>20250501/</w:t>
    </w:r>
    <w:r w:rsidR="00BB79C5" w:rsidRPr="00276146">
      <w:rPr>
        <w:rFonts w:ascii="Calibri Light" w:hAnsi="Calibri Light" w:cs="Calibri Light"/>
        <w:highlight w:val="yellow"/>
      </w:rPr>
      <w:t>202</w:t>
    </w:r>
    <w:r w:rsidR="00F23954" w:rsidRPr="00276146">
      <w:rPr>
        <w:rFonts w:ascii="Calibri Light" w:hAnsi="Calibri Light" w:cs="Calibri Light"/>
        <w:highlight w:val="yellow"/>
      </w:rPr>
      <w:t>5</w:t>
    </w:r>
    <w:r w:rsidR="00BB79C5" w:rsidRPr="00276146">
      <w:rPr>
        <w:rFonts w:ascii="Calibri Light" w:hAnsi="Calibri Light" w:cs="Calibri Light"/>
        <w:highlight w:val="yellow"/>
      </w:rPr>
      <w:t>0</w:t>
    </w:r>
    <w:r w:rsidR="00F23954" w:rsidRPr="00276146">
      <w:rPr>
        <w:rFonts w:ascii="Calibri Light" w:hAnsi="Calibri Light" w:cs="Calibri Light"/>
        <w:highlight w:val="yellow"/>
      </w:rPr>
      <w:t>6</w:t>
    </w:r>
    <w:r w:rsidR="00BB79C5" w:rsidRPr="00276146">
      <w:rPr>
        <w:rFonts w:ascii="Calibri Light" w:hAnsi="Calibri Light" w:cs="Calibri Light"/>
        <w:highlight w:val="yellow"/>
      </w:rPr>
      <w:t>01</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7"/>
  </w:num>
  <w:num w:numId="7">
    <w:abstractNumId w:val="0"/>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61B0"/>
    <w:rsid w:val="000261F0"/>
    <w:rsid w:val="00044E55"/>
    <w:rsid w:val="0005315B"/>
    <w:rsid w:val="00060CE1"/>
    <w:rsid w:val="000646EE"/>
    <w:rsid w:val="00073CC1"/>
    <w:rsid w:val="0007402A"/>
    <w:rsid w:val="00075B98"/>
    <w:rsid w:val="00083006"/>
    <w:rsid w:val="0008358C"/>
    <w:rsid w:val="00087C1D"/>
    <w:rsid w:val="000958FA"/>
    <w:rsid w:val="000A32D4"/>
    <w:rsid w:val="000E1505"/>
    <w:rsid w:val="000E2F1D"/>
    <w:rsid w:val="000F78FE"/>
    <w:rsid w:val="00123ED6"/>
    <w:rsid w:val="0012718F"/>
    <w:rsid w:val="001300D8"/>
    <w:rsid w:val="00165A38"/>
    <w:rsid w:val="00185244"/>
    <w:rsid w:val="001A0561"/>
    <w:rsid w:val="001A5FC9"/>
    <w:rsid w:val="001B6172"/>
    <w:rsid w:val="001C2E48"/>
    <w:rsid w:val="001D4173"/>
    <w:rsid w:val="001D75FC"/>
    <w:rsid w:val="00212B4D"/>
    <w:rsid w:val="00225323"/>
    <w:rsid w:val="002313EC"/>
    <w:rsid w:val="002323F5"/>
    <w:rsid w:val="002364D6"/>
    <w:rsid w:val="0024353C"/>
    <w:rsid w:val="002537C0"/>
    <w:rsid w:val="0026351B"/>
    <w:rsid w:val="002644FD"/>
    <w:rsid w:val="002671D7"/>
    <w:rsid w:val="00273172"/>
    <w:rsid w:val="00276146"/>
    <w:rsid w:val="00285F70"/>
    <w:rsid w:val="002A684C"/>
    <w:rsid w:val="002B3739"/>
    <w:rsid w:val="002B75C2"/>
    <w:rsid w:val="002D1CD4"/>
    <w:rsid w:val="002D4D1C"/>
    <w:rsid w:val="002E5EF0"/>
    <w:rsid w:val="002F7BFF"/>
    <w:rsid w:val="003058D5"/>
    <w:rsid w:val="003076A8"/>
    <w:rsid w:val="00316444"/>
    <w:rsid w:val="003224DD"/>
    <w:rsid w:val="00332D37"/>
    <w:rsid w:val="00337725"/>
    <w:rsid w:val="00337809"/>
    <w:rsid w:val="003404A2"/>
    <w:rsid w:val="00385314"/>
    <w:rsid w:val="003A045F"/>
    <w:rsid w:val="003A1B08"/>
    <w:rsid w:val="003A22B2"/>
    <w:rsid w:val="003B2487"/>
    <w:rsid w:val="003E174B"/>
    <w:rsid w:val="003E3404"/>
    <w:rsid w:val="00403FD0"/>
    <w:rsid w:val="004079FF"/>
    <w:rsid w:val="00416EDE"/>
    <w:rsid w:val="00432847"/>
    <w:rsid w:val="00435F56"/>
    <w:rsid w:val="00441449"/>
    <w:rsid w:val="00446DE6"/>
    <w:rsid w:val="00447B09"/>
    <w:rsid w:val="0045695C"/>
    <w:rsid w:val="004655B7"/>
    <w:rsid w:val="00465810"/>
    <w:rsid w:val="00467CBC"/>
    <w:rsid w:val="00470B4F"/>
    <w:rsid w:val="004731C5"/>
    <w:rsid w:val="004A73FE"/>
    <w:rsid w:val="004B1AE6"/>
    <w:rsid w:val="004D2B8F"/>
    <w:rsid w:val="004E0E59"/>
    <w:rsid w:val="004E1CB3"/>
    <w:rsid w:val="004E6303"/>
    <w:rsid w:val="004E6A28"/>
    <w:rsid w:val="004F17D0"/>
    <w:rsid w:val="00503A13"/>
    <w:rsid w:val="00503E20"/>
    <w:rsid w:val="0050486E"/>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A46FA"/>
    <w:rsid w:val="005A7E99"/>
    <w:rsid w:val="005B0FD1"/>
    <w:rsid w:val="005C5FDE"/>
    <w:rsid w:val="005D4DF6"/>
    <w:rsid w:val="005E0650"/>
    <w:rsid w:val="005E15A9"/>
    <w:rsid w:val="005F75F1"/>
    <w:rsid w:val="00620707"/>
    <w:rsid w:val="00622111"/>
    <w:rsid w:val="006235BA"/>
    <w:rsid w:val="00650429"/>
    <w:rsid w:val="006576F0"/>
    <w:rsid w:val="00665C3B"/>
    <w:rsid w:val="00665C84"/>
    <w:rsid w:val="00670E60"/>
    <w:rsid w:val="0067317B"/>
    <w:rsid w:val="00677A87"/>
    <w:rsid w:val="0068609C"/>
    <w:rsid w:val="00690122"/>
    <w:rsid w:val="006952EE"/>
    <w:rsid w:val="006A183E"/>
    <w:rsid w:val="006B19E0"/>
    <w:rsid w:val="006C42F3"/>
    <w:rsid w:val="006C58B8"/>
    <w:rsid w:val="006D2859"/>
    <w:rsid w:val="006D7CFA"/>
    <w:rsid w:val="006E0E24"/>
    <w:rsid w:val="00714B39"/>
    <w:rsid w:val="0072498A"/>
    <w:rsid w:val="00727E2B"/>
    <w:rsid w:val="00737ABB"/>
    <w:rsid w:val="007433D6"/>
    <w:rsid w:val="00745ED1"/>
    <w:rsid w:val="0074621D"/>
    <w:rsid w:val="00761CD7"/>
    <w:rsid w:val="007703A4"/>
    <w:rsid w:val="00770D15"/>
    <w:rsid w:val="007B2A46"/>
    <w:rsid w:val="007C75B2"/>
    <w:rsid w:val="007D4A0D"/>
    <w:rsid w:val="007E3026"/>
    <w:rsid w:val="007E6F3D"/>
    <w:rsid w:val="007F5863"/>
    <w:rsid w:val="00804105"/>
    <w:rsid w:val="008109B4"/>
    <w:rsid w:val="00812F5E"/>
    <w:rsid w:val="00822301"/>
    <w:rsid w:val="0082259C"/>
    <w:rsid w:val="00833E84"/>
    <w:rsid w:val="00842E9B"/>
    <w:rsid w:val="00843332"/>
    <w:rsid w:val="008452EE"/>
    <w:rsid w:val="00850616"/>
    <w:rsid w:val="00850834"/>
    <w:rsid w:val="008607AE"/>
    <w:rsid w:val="0086100B"/>
    <w:rsid w:val="00862A7B"/>
    <w:rsid w:val="00862F0D"/>
    <w:rsid w:val="00863293"/>
    <w:rsid w:val="00865718"/>
    <w:rsid w:val="00870341"/>
    <w:rsid w:val="00877B9C"/>
    <w:rsid w:val="00884C85"/>
    <w:rsid w:val="00890700"/>
    <w:rsid w:val="00892E12"/>
    <w:rsid w:val="00892E1A"/>
    <w:rsid w:val="00893F43"/>
    <w:rsid w:val="008949E6"/>
    <w:rsid w:val="008A4DD4"/>
    <w:rsid w:val="008A77E9"/>
    <w:rsid w:val="008B5365"/>
    <w:rsid w:val="008B5C8E"/>
    <w:rsid w:val="008B63D9"/>
    <w:rsid w:val="008C0362"/>
    <w:rsid w:val="008C436E"/>
    <w:rsid w:val="008E6381"/>
    <w:rsid w:val="008F467C"/>
    <w:rsid w:val="008F6C81"/>
    <w:rsid w:val="00906DF0"/>
    <w:rsid w:val="00911035"/>
    <w:rsid w:val="00924B06"/>
    <w:rsid w:val="009344E2"/>
    <w:rsid w:val="00934D79"/>
    <w:rsid w:val="00960A36"/>
    <w:rsid w:val="00967AF0"/>
    <w:rsid w:val="00972DB0"/>
    <w:rsid w:val="00974B34"/>
    <w:rsid w:val="0099383E"/>
    <w:rsid w:val="009B1ECD"/>
    <w:rsid w:val="009B7175"/>
    <w:rsid w:val="009C276F"/>
    <w:rsid w:val="009D37E0"/>
    <w:rsid w:val="009F5AB5"/>
    <w:rsid w:val="009F7FF9"/>
    <w:rsid w:val="00A007AF"/>
    <w:rsid w:val="00A06019"/>
    <w:rsid w:val="00A14088"/>
    <w:rsid w:val="00A44277"/>
    <w:rsid w:val="00A450EA"/>
    <w:rsid w:val="00A47FC6"/>
    <w:rsid w:val="00A51E0C"/>
    <w:rsid w:val="00A53ED8"/>
    <w:rsid w:val="00A60587"/>
    <w:rsid w:val="00A60684"/>
    <w:rsid w:val="00A73906"/>
    <w:rsid w:val="00A8349D"/>
    <w:rsid w:val="00A84F96"/>
    <w:rsid w:val="00A90E77"/>
    <w:rsid w:val="00A928C1"/>
    <w:rsid w:val="00A94ACE"/>
    <w:rsid w:val="00AA05A6"/>
    <w:rsid w:val="00AA0EAF"/>
    <w:rsid w:val="00AA0FE3"/>
    <w:rsid w:val="00AA21C5"/>
    <w:rsid w:val="00AA5CD9"/>
    <w:rsid w:val="00AB4A05"/>
    <w:rsid w:val="00AC233F"/>
    <w:rsid w:val="00AD1F84"/>
    <w:rsid w:val="00AE0052"/>
    <w:rsid w:val="00AF255F"/>
    <w:rsid w:val="00AF6F21"/>
    <w:rsid w:val="00B015EA"/>
    <w:rsid w:val="00B26E31"/>
    <w:rsid w:val="00B41495"/>
    <w:rsid w:val="00B61FB2"/>
    <w:rsid w:val="00B67BA6"/>
    <w:rsid w:val="00B877BC"/>
    <w:rsid w:val="00B90234"/>
    <w:rsid w:val="00B93171"/>
    <w:rsid w:val="00B95E2F"/>
    <w:rsid w:val="00BA6071"/>
    <w:rsid w:val="00BB4028"/>
    <w:rsid w:val="00BB4510"/>
    <w:rsid w:val="00BB79C5"/>
    <w:rsid w:val="00BC421B"/>
    <w:rsid w:val="00BD6724"/>
    <w:rsid w:val="00BD6D90"/>
    <w:rsid w:val="00BD7DF5"/>
    <w:rsid w:val="00BE2829"/>
    <w:rsid w:val="00BE7B9C"/>
    <w:rsid w:val="00BF2030"/>
    <w:rsid w:val="00BF6B5E"/>
    <w:rsid w:val="00BF7513"/>
    <w:rsid w:val="00BF7554"/>
    <w:rsid w:val="00C13091"/>
    <w:rsid w:val="00C23EA3"/>
    <w:rsid w:val="00C24759"/>
    <w:rsid w:val="00C344C2"/>
    <w:rsid w:val="00C35D51"/>
    <w:rsid w:val="00C41894"/>
    <w:rsid w:val="00C602EA"/>
    <w:rsid w:val="00C6119A"/>
    <w:rsid w:val="00C73B26"/>
    <w:rsid w:val="00C80E05"/>
    <w:rsid w:val="00C93880"/>
    <w:rsid w:val="00C948D7"/>
    <w:rsid w:val="00C961AB"/>
    <w:rsid w:val="00C9638D"/>
    <w:rsid w:val="00CA2C61"/>
    <w:rsid w:val="00CA66FD"/>
    <w:rsid w:val="00CB1B64"/>
    <w:rsid w:val="00CD0709"/>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1414"/>
    <w:rsid w:val="00D82BA6"/>
    <w:rsid w:val="00D86ECC"/>
    <w:rsid w:val="00D91793"/>
    <w:rsid w:val="00DA7888"/>
    <w:rsid w:val="00DE3EAA"/>
    <w:rsid w:val="00DE53C6"/>
    <w:rsid w:val="00DE7823"/>
    <w:rsid w:val="00DF1A06"/>
    <w:rsid w:val="00DF3D27"/>
    <w:rsid w:val="00E02BD2"/>
    <w:rsid w:val="00E1018C"/>
    <w:rsid w:val="00E11940"/>
    <w:rsid w:val="00E17240"/>
    <w:rsid w:val="00E206BE"/>
    <w:rsid w:val="00E261BD"/>
    <w:rsid w:val="00E268F1"/>
    <w:rsid w:val="00E37433"/>
    <w:rsid w:val="00E37C9E"/>
    <w:rsid w:val="00E40174"/>
    <w:rsid w:val="00E45699"/>
    <w:rsid w:val="00E46964"/>
    <w:rsid w:val="00E535B4"/>
    <w:rsid w:val="00E64B8F"/>
    <w:rsid w:val="00E7211B"/>
    <w:rsid w:val="00E816CB"/>
    <w:rsid w:val="00E90F55"/>
    <w:rsid w:val="00E925FE"/>
    <w:rsid w:val="00EA6936"/>
    <w:rsid w:val="00EC1E86"/>
    <w:rsid w:val="00ED67A5"/>
    <w:rsid w:val="00EE1A1A"/>
    <w:rsid w:val="00EE35FC"/>
    <w:rsid w:val="00EF3CDF"/>
    <w:rsid w:val="00F13846"/>
    <w:rsid w:val="00F23954"/>
    <w:rsid w:val="00F278EB"/>
    <w:rsid w:val="00F303E2"/>
    <w:rsid w:val="00F4478D"/>
    <w:rsid w:val="00F45F4D"/>
    <w:rsid w:val="00F46029"/>
    <w:rsid w:val="00F50E7B"/>
    <w:rsid w:val="00F53E0F"/>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13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ck-online.cz" TargetMode="External"/><Relationship Id="rId4" Type="http://schemas.openxmlformats.org/officeDocument/2006/relationships/settings" Target="settings.xml"/><Relationship Id="rId9" Type="http://schemas.openxmlformats.org/officeDocument/2006/relationships/hyperlink" Target="mailto:l.minksova@meuvysk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8412-19BE-4CCE-AF19-081CE847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5769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Minksová Lenka</cp:lastModifiedBy>
  <cp:revision>4</cp:revision>
  <cp:lastPrinted>2018-10-16T12:06:00Z</cp:lastPrinted>
  <dcterms:created xsi:type="dcterms:W3CDTF">2025-04-30T14:09:00Z</dcterms:created>
  <dcterms:modified xsi:type="dcterms:W3CDTF">2025-05-05T06:03:00Z</dcterms:modified>
</cp:coreProperties>
</file>