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F404" w14:textId="77777777"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14:paraId="371A205C" w14:textId="77777777"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14:paraId="00583A46" w14:textId="61EDD22B" w:rsidR="0053796B" w:rsidRPr="0060282F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</w:t>
      </w:r>
      <w:r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14:paraId="53C04288" w14:textId="5C60C5AA"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</w:t>
      </w:r>
      <w:r w:rsidR="00AD66FB">
        <w:rPr>
          <w:sz w:val="24"/>
        </w:rPr>
        <w:t xml:space="preserve">na PCO HZS JčK </w:t>
      </w:r>
      <w:r w:rsidR="00C369AF" w:rsidRPr="002A2A59">
        <w:rPr>
          <w:sz w:val="24"/>
        </w:rPr>
        <w:t>a servisu</w:t>
      </w:r>
      <w:r w:rsidR="00124ABB" w:rsidRPr="002A2A59">
        <w:rPr>
          <w:sz w:val="24"/>
        </w:rPr>
        <w:t xml:space="preserve"> ZDP</w:t>
      </w:r>
    </w:p>
    <w:p w14:paraId="11C5309B" w14:textId="77777777" w:rsidR="002A2A59" w:rsidRPr="002A2A59" w:rsidRDefault="002A2A59">
      <w:pPr>
        <w:pStyle w:val="Nzev"/>
        <w:rPr>
          <w:b w:val="0"/>
          <w:color w:val="000080"/>
          <w:sz w:val="24"/>
        </w:rPr>
      </w:pPr>
    </w:p>
    <w:p w14:paraId="54E659F6" w14:textId="77777777"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14:paraId="2416204A" w14:textId="77777777"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14:paraId="7FE17C43" w14:textId="77777777" w:rsidR="00E820DF" w:rsidRDefault="00E820DF"/>
    <w:p w14:paraId="08691E30" w14:textId="77777777" w:rsidR="00152BD9" w:rsidRDefault="00152BD9"/>
    <w:p w14:paraId="43B7D70D" w14:textId="3183802F" w:rsidR="00276D79" w:rsidRPr="005F7102" w:rsidRDefault="007E229A" w:rsidP="00276D79">
      <w:pPr>
        <w:rPr>
          <w:b/>
        </w:rPr>
      </w:pPr>
      <w:r>
        <w:t xml:space="preserve">číslo smlouvy:   </w:t>
      </w:r>
      <w:r w:rsidR="00335A61" w:rsidRPr="00335A61">
        <w:rPr>
          <w:b/>
          <w:u w:val="single"/>
        </w:rPr>
        <w:t>1</w:t>
      </w:r>
      <w:r w:rsidR="002B5066">
        <w:rPr>
          <w:b/>
          <w:u w:val="single"/>
        </w:rPr>
        <w:t>1</w:t>
      </w:r>
      <w:r w:rsidR="00A74338">
        <w:rPr>
          <w:b/>
          <w:u w:val="single"/>
        </w:rPr>
        <w:t>142</w:t>
      </w:r>
      <w:r w:rsidR="00335A61">
        <w:rPr>
          <w:b/>
          <w:u w:val="single"/>
        </w:rPr>
        <w:t xml:space="preserve"> </w:t>
      </w:r>
      <w:r w:rsidR="007B290C">
        <w:rPr>
          <w:b/>
          <w:u w:val="single"/>
        </w:rPr>
        <w:t>/ 202</w:t>
      </w:r>
      <w:r w:rsidR="008B097C">
        <w:rPr>
          <w:b/>
          <w:u w:val="single"/>
        </w:rPr>
        <w:t>5</w:t>
      </w:r>
      <w:r w:rsidR="00E6068B">
        <w:rPr>
          <w:b/>
          <w:u w:val="single"/>
        </w:rPr>
        <w:t xml:space="preserve">;  </w:t>
      </w:r>
      <w:r w:rsidR="00E6068B" w:rsidRPr="00E6068B">
        <w:rPr>
          <w:b/>
          <w:u w:val="single"/>
        </w:rPr>
        <w:t>SML139/003/2025</w:t>
      </w:r>
    </w:p>
    <w:p w14:paraId="7EC1EFBA" w14:textId="77777777" w:rsidR="00E820DF" w:rsidRDefault="00E820DF"/>
    <w:p w14:paraId="0C73C319" w14:textId="27EDC231" w:rsidR="00E820DF" w:rsidRDefault="00F0482A" w:rsidP="00F0482A">
      <w:pPr>
        <w:pStyle w:val="Nadpis1"/>
        <w:ind w:left="3969"/>
        <w:jc w:val="left"/>
      </w:pPr>
      <w:r>
        <w:t xml:space="preserve">I. </w:t>
      </w:r>
      <w:r w:rsidR="00E820DF">
        <w:t>S</w:t>
      </w:r>
      <w:r w:rsidR="000D5A32">
        <w:t>mluvní strany</w:t>
      </w:r>
    </w:p>
    <w:p w14:paraId="311FE118" w14:textId="77777777" w:rsidR="00F0482A" w:rsidRPr="00F0482A" w:rsidRDefault="00F0482A" w:rsidP="00F0482A"/>
    <w:p w14:paraId="50104776" w14:textId="7F7C5D1A" w:rsidR="00341F27" w:rsidRPr="002527D5" w:rsidRDefault="00F0482A" w:rsidP="00F0482A">
      <w:pPr>
        <w:ind w:left="426" w:hanging="426"/>
      </w:pPr>
      <w:r w:rsidRPr="00415B84">
        <w:rPr>
          <w:b/>
        </w:rPr>
        <w:t>Objednatel:</w:t>
      </w:r>
      <w:r w:rsidR="00415B84">
        <w:rPr>
          <w:b/>
        </w:rPr>
        <w:t xml:space="preserve"> Národní zemědělské muzeum s. p. o.</w:t>
      </w:r>
      <w:r w:rsidR="007C263B">
        <w:tab/>
      </w:r>
      <w:r w:rsidR="007C263B">
        <w:tab/>
      </w:r>
      <w:r w:rsidR="007C263B">
        <w:tab/>
      </w:r>
      <w:r w:rsidR="00341F27" w:rsidRPr="00341F27">
        <w:rPr>
          <w:b/>
        </w:rPr>
        <w:tab/>
      </w:r>
      <w:r w:rsidR="00341F27" w:rsidRPr="00341F27">
        <w:rPr>
          <w:b/>
        </w:rPr>
        <w:tab/>
      </w:r>
      <w:r w:rsidR="00341F27" w:rsidRPr="00341F27">
        <w:rPr>
          <w:b/>
        </w:rPr>
        <w:tab/>
      </w:r>
      <w:r w:rsidR="00341F27" w:rsidRPr="00341F27">
        <w:rPr>
          <w:b/>
        </w:rPr>
        <w:tab/>
      </w:r>
      <w:r w:rsidR="00341F27" w:rsidRPr="00341F27">
        <w:rPr>
          <w:b/>
        </w:rPr>
        <w:tab/>
      </w:r>
    </w:p>
    <w:p w14:paraId="1B92483F" w14:textId="77777777" w:rsidR="00341F27" w:rsidRPr="00341F27" w:rsidRDefault="00744161" w:rsidP="0074055F">
      <w:pPr>
        <w:ind w:left="426"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EA4C36" w14:textId="5822D39C" w:rsidR="00E820DF" w:rsidRPr="000967D8" w:rsidRDefault="00E820DF" w:rsidP="0074055F">
      <w:pPr>
        <w:ind w:left="426" w:hanging="426"/>
        <w:rPr>
          <w:b/>
        </w:rPr>
      </w:pPr>
      <w:r w:rsidRPr="00415B84">
        <w:rPr>
          <w:b/>
        </w:rPr>
        <w:t>Zastoupen</w:t>
      </w:r>
      <w:r w:rsidR="003E0F24" w:rsidRPr="00415B84">
        <w:rPr>
          <w:b/>
        </w:rPr>
        <w:t>ý</w:t>
      </w:r>
      <w:r w:rsidRPr="00415B84">
        <w:rPr>
          <w:b/>
        </w:rPr>
        <w:t>:</w:t>
      </w:r>
      <w:r w:rsidR="00415B84">
        <w:rPr>
          <w:b/>
        </w:rPr>
        <w:t xml:space="preserve"> </w:t>
      </w:r>
      <w:r w:rsidR="00423BB6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E6068B">
        <w:rPr>
          <w:b/>
        </w:rPr>
        <w:t>xxx</w:t>
      </w:r>
      <w:r w:rsidR="00B82426" w:rsidRPr="000967D8">
        <w:rPr>
          <w:b/>
        </w:rPr>
        <w:tab/>
      </w:r>
      <w:r w:rsidR="0097759D" w:rsidRPr="000967D8">
        <w:rPr>
          <w:b/>
        </w:rPr>
        <w:tab/>
      </w:r>
    </w:p>
    <w:p w14:paraId="187A9DB8" w14:textId="32526E71" w:rsidR="0033765D" w:rsidRPr="000967D8" w:rsidRDefault="00C369AF" w:rsidP="00C369AF">
      <w:pPr>
        <w:rPr>
          <w:b/>
        </w:rPr>
      </w:pPr>
      <w:r w:rsidRPr="00415B84">
        <w:rPr>
          <w:b/>
        </w:rPr>
        <w:t>I</w:t>
      </w:r>
      <w:r w:rsidR="00E820DF" w:rsidRPr="00415B84">
        <w:rPr>
          <w:b/>
        </w:rPr>
        <w:t>Č:</w:t>
      </w:r>
      <w:r w:rsidR="00E820DF" w:rsidRPr="000967D8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415B84">
        <w:rPr>
          <w:b/>
        </w:rPr>
        <w:t>75075741</w:t>
      </w:r>
      <w:r w:rsidRPr="000967D8">
        <w:rPr>
          <w:b/>
        </w:rPr>
        <w:tab/>
      </w:r>
      <w:r w:rsidR="00276D79" w:rsidRPr="000967D8">
        <w:rPr>
          <w:b/>
        </w:rPr>
        <w:tab/>
      </w:r>
      <w:r w:rsidR="00276D79" w:rsidRPr="000967D8">
        <w:rPr>
          <w:b/>
        </w:rPr>
        <w:tab/>
      </w:r>
    </w:p>
    <w:p w14:paraId="5577C103" w14:textId="63D49A5A" w:rsidR="001344AE" w:rsidRPr="000967D8" w:rsidRDefault="0033765D" w:rsidP="00C369AF">
      <w:pPr>
        <w:rPr>
          <w:b/>
        </w:rPr>
      </w:pPr>
      <w:r w:rsidRPr="00415B84">
        <w:rPr>
          <w:b/>
        </w:rPr>
        <w:t>DIČ:</w:t>
      </w:r>
      <w:r w:rsidR="00E820DF" w:rsidRPr="000967D8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415B84">
        <w:rPr>
          <w:b/>
        </w:rPr>
        <w:t>CZ75075741</w:t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</w:p>
    <w:p w14:paraId="1131FF06" w14:textId="1D70FAC6" w:rsidR="00415B84" w:rsidRDefault="00E820DF" w:rsidP="00C369AF">
      <w:pPr>
        <w:rPr>
          <w:b/>
        </w:rPr>
      </w:pPr>
      <w:r w:rsidRPr="00415B84">
        <w:rPr>
          <w:b/>
        </w:rPr>
        <w:t>Bankovní spojení:</w:t>
      </w:r>
      <w:r w:rsidR="00415B84">
        <w:rPr>
          <w:b/>
        </w:rPr>
        <w:t xml:space="preserve"> </w:t>
      </w:r>
      <w:r w:rsidR="00423BB6">
        <w:rPr>
          <w:b/>
        </w:rPr>
        <w:tab/>
      </w:r>
      <w:r w:rsidR="00423BB6">
        <w:rPr>
          <w:b/>
        </w:rPr>
        <w:tab/>
      </w:r>
      <w:r w:rsidR="00E6068B">
        <w:rPr>
          <w:b/>
        </w:rPr>
        <w:t>xxx</w:t>
      </w:r>
    </w:p>
    <w:p w14:paraId="6E3462E2" w14:textId="2C529AC4" w:rsidR="001344AE" w:rsidRPr="000967D8" w:rsidRDefault="00415B84" w:rsidP="00C369AF">
      <w:pPr>
        <w:rPr>
          <w:b/>
        </w:rPr>
      </w:pPr>
      <w:r>
        <w:rPr>
          <w:b/>
        </w:rPr>
        <w:t xml:space="preserve">Číslo účtu: </w:t>
      </w:r>
      <w:r w:rsidR="00423BB6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E6068B">
        <w:rPr>
          <w:b/>
        </w:rPr>
        <w:t>xxx</w:t>
      </w:r>
      <w:r w:rsidR="00E820DF" w:rsidRPr="000967D8">
        <w:rPr>
          <w:b/>
        </w:rPr>
        <w:tab/>
      </w:r>
      <w:r w:rsidR="00E820DF" w:rsidRPr="000967D8">
        <w:rPr>
          <w:b/>
        </w:rPr>
        <w:tab/>
      </w:r>
    </w:p>
    <w:p w14:paraId="6AC26D4A" w14:textId="11A7A2A3" w:rsidR="00E820DF" w:rsidRPr="000967D8" w:rsidRDefault="00415B84" w:rsidP="00C369AF">
      <w:pPr>
        <w:rPr>
          <w:b/>
        </w:rPr>
      </w:pPr>
      <w:r>
        <w:rPr>
          <w:b/>
        </w:rPr>
        <w:t xml:space="preserve">Účetní kontakt: </w:t>
      </w:r>
      <w:r w:rsidR="00423BB6">
        <w:rPr>
          <w:b/>
        </w:rPr>
        <w:tab/>
      </w:r>
      <w:r w:rsidR="00423BB6">
        <w:rPr>
          <w:b/>
        </w:rPr>
        <w:tab/>
      </w:r>
      <w:r w:rsidR="00423BB6">
        <w:rPr>
          <w:b/>
        </w:rPr>
        <w:tab/>
      </w:r>
      <w:r w:rsidR="00E6068B">
        <w:rPr>
          <w:b/>
        </w:rPr>
        <w:t>xxx</w:t>
      </w:r>
      <w:r w:rsidR="00E820DF" w:rsidRPr="000967D8">
        <w:rPr>
          <w:b/>
        </w:rPr>
        <w:tab/>
      </w:r>
      <w:r w:rsidR="00EB13AD" w:rsidRPr="000967D8">
        <w:rPr>
          <w:b/>
        </w:rPr>
        <w:tab/>
      </w:r>
    </w:p>
    <w:p w14:paraId="3FE78D05" w14:textId="2D6C9823" w:rsidR="001344AE" w:rsidRPr="000967D8" w:rsidRDefault="00415B84" w:rsidP="00C369AF">
      <w:pPr>
        <w:rPr>
          <w:b/>
        </w:rPr>
      </w:pPr>
      <w:r>
        <w:rPr>
          <w:b/>
        </w:rPr>
        <w:t xml:space="preserve">Kontaktní osoba: </w:t>
      </w:r>
      <w:r w:rsidR="00423BB6">
        <w:rPr>
          <w:b/>
        </w:rPr>
        <w:tab/>
      </w:r>
      <w:r w:rsidR="00423BB6">
        <w:rPr>
          <w:b/>
        </w:rPr>
        <w:tab/>
      </w:r>
      <w:r w:rsidR="00E6068B">
        <w:rPr>
          <w:b/>
        </w:rPr>
        <w:t>xxx</w:t>
      </w:r>
    </w:p>
    <w:p w14:paraId="3119CA31" w14:textId="32EFEDD2" w:rsidR="00DB4A6F" w:rsidRPr="000967D8" w:rsidRDefault="00792BA4" w:rsidP="008C1F68">
      <w:pPr>
        <w:rPr>
          <w:b/>
        </w:rPr>
      </w:pPr>
      <w:r>
        <w:rPr>
          <w:b/>
        </w:rPr>
        <w:t xml:space="preserve"> </w:t>
      </w:r>
    </w:p>
    <w:p w14:paraId="05F68CE6" w14:textId="70380935" w:rsidR="00A74338" w:rsidRDefault="00F52452" w:rsidP="008B097C">
      <w:pPr>
        <w:rPr>
          <w:b/>
        </w:rPr>
      </w:pPr>
      <w:r w:rsidRPr="00227BD5">
        <w:rPr>
          <w:b/>
        </w:rPr>
        <w:t>S</w:t>
      </w:r>
      <w:r w:rsidR="0097759D" w:rsidRPr="00227BD5">
        <w:rPr>
          <w:b/>
        </w:rPr>
        <w:t>třežen</w:t>
      </w:r>
      <w:r w:rsidRPr="00227BD5">
        <w:rPr>
          <w:b/>
        </w:rPr>
        <w:t>ý</w:t>
      </w:r>
      <w:r w:rsidR="0097759D" w:rsidRPr="00227BD5">
        <w:rPr>
          <w:b/>
        </w:rPr>
        <w:t xml:space="preserve"> objekt</w:t>
      </w:r>
      <w:r w:rsidR="00C369AF" w:rsidRPr="00227BD5">
        <w:rPr>
          <w:b/>
        </w:rPr>
        <w:t>:</w:t>
      </w:r>
      <w:r w:rsidR="00227BD5">
        <w:rPr>
          <w:b/>
        </w:rPr>
        <w:tab/>
      </w:r>
      <w:r w:rsidR="00BB6DC9">
        <w:rPr>
          <w:b/>
        </w:rPr>
        <w:t xml:space="preserve">   </w:t>
      </w:r>
      <w:r w:rsidR="007F6703">
        <w:rPr>
          <w:b/>
        </w:rPr>
        <w:t xml:space="preserve"> </w:t>
      </w:r>
      <w:r w:rsidR="00F64671">
        <w:rPr>
          <w:b/>
        </w:rPr>
        <w:tab/>
      </w:r>
      <w:r w:rsidR="00F64671">
        <w:rPr>
          <w:b/>
        </w:rPr>
        <w:tab/>
      </w:r>
      <w:r w:rsidR="00A74338" w:rsidRPr="00415B84">
        <w:rPr>
          <w:b/>
          <w:u w:val="single"/>
        </w:rPr>
        <w:t>Národní zemědělské muzeum</w:t>
      </w:r>
      <w:r w:rsidR="003438D8" w:rsidRPr="00415B84">
        <w:rPr>
          <w:b/>
          <w:u w:val="single"/>
        </w:rPr>
        <w:t xml:space="preserve"> </w:t>
      </w:r>
      <w:r w:rsidR="000150D7">
        <w:rPr>
          <w:b/>
          <w:u w:val="single"/>
        </w:rPr>
        <w:t>xxx</w:t>
      </w:r>
    </w:p>
    <w:p w14:paraId="5FF9F2CB" w14:textId="00ADA459" w:rsidR="00F64671" w:rsidRPr="008B097C" w:rsidRDefault="00964B7D" w:rsidP="00A74338">
      <w:pPr>
        <w:ind w:left="2127" w:firstLine="709"/>
        <w:rPr>
          <w:b/>
          <w:u w:val="single"/>
        </w:rPr>
      </w:pPr>
      <w:r w:rsidRPr="00964B7D">
        <w:rPr>
          <w:b/>
        </w:rPr>
        <w:t xml:space="preserve">– </w:t>
      </w:r>
      <w:r w:rsidRPr="00964B7D">
        <w:rPr>
          <w:b/>
          <w:color w:val="004E9A"/>
        </w:rPr>
        <w:t>ID objektu:</w:t>
      </w:r>
      <w:r w:rsidR="007F6703">
        <w:rPr>
          <w:b/>
          <w:color w:val="004E9A"/>
        </w:rPr>
        <w:t xml:space="preserve"> </w:t>
      </w:r>
      <w:r w:rsidR="00800816">
        <w:rPr>
          <w:b/>
          <w:color w:val="004E9A"/>
        </w:rPr>
        <w:t>xxx</w:t>
      </w:r>
    </w:p>
    <w:p w14:paraId="5A74D776" w14:textId="77777777" w:rsidR="00F64671" w:rsidRPr="00F64671" w:rsidRDefault="00F64671">
      <w:pPr>
        <w:rPr>
          <w:b/>
          <w:color w:val="004E9A"/>
          <w:sz w:val="16"/>
          <w:szCs w:val="16"/>
        </w:rPr>
      </w:pPr>
    </w:p>
    <w:p w14:paraId="040A31F9" w14:textId="12E44697"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  <w:r>
        <w:t xml:space="preserve"> </w:t>
      </w:r>
    </w:p>
    <w:p w14:paraId="162BD129" w14:textId="77777777" w:rsidR="00C369AF" w:rsidRDefault="00C369AF"/>
    <w:p w14:paraId="2A03D21C" w14:textId="77777777" w:rsidR="00C369AF" w:rsidRDefault="00C369AF">
      <w:r>
        <w:t>a</w:t>
      </w:r>
    </w:p>
    <w:p w14:paraId="0A2F7F2C" w14:textId="77777777" w:rsidR="00F0482A" w:rsidRDefault="00F0482A"/>
    <w:p w14:paraId="6FA04932" w14:textId="036C6F75"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14:paraId="7324F8E0" w14:textId="77777777"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>U Zlaté stoky 577, 370 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</w:p>
    <w:p w14:paraId="6C6C9100" w14:textId="62DBBA08"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08694D">
        <w:rPr>
          <w:b/>
        </w:rPr>
        <w:t>xxx</w:t>
      </w:r>
    </w:p>
    <w:p w14:paraId="1C038EEF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14:paraId="4F8F29E2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14:paraId="4246B2BF" w14:textId="77777777"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14:paraId="2D441597" w14:textId="09136B4E"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08694D">
        <w:rPr>
          <w:b/>
        </w:rPr>
        <w:t>xxx</w:t>
      </w:r>
    </w:p>
    <w:p w14:paraId="27FD1148" w14:textId="2B0962D8"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  <w:r w:rsidR="0008694D">
        <w:rPr>
          <w:b/>
        </w:rPr>
        <w:t>xxx</w:t>
      </w:r>
    </w:p>
    <w:p w14:paraId="328CBF50" w14:textId="4B8054C8"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hyperlink r:id="rId8" w:history="1">
        <w:r w:rsidR="0008694D" w:rsidRPr="0008694D">
          <w:rPr>
            <w:b/>
          </w:rPr>
          <w:t>xxx</w:t>
        </w:r>
      </w:hyperlink>
    </w:p>
    <w:p w14:paraId="5C9436D4" w14:textId="77777777" w:rsidR="002344E5" w:rsidRPr="00A406C7" w:rsidRDefault="002344E5" w:rsidP="00C369AF">
      <w:pPr>
        <w:rPr>
          <w:b/>
          <w:sz w:val="16"/>
          <w:szCs w:val="16"/>
        </w:rPr>
      </w:pPr>
    </w:p>
    <w:p w14:paraId="3D0849E5" w14:textId="45D57F41"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14:paraId="020798BB" w14:textId="77777777" w:rsidR="005517B9" w:rsidRDefault="005517B9"/>
    <w:p w14:paraId="787AFCCC" w14:textId="77777777" w:rsidR="00E820DF" w:rsidRDefault="00E820DF">
      <w:pPr>
        <w:pStyle w:val="Nadpis1"/>
      </w:pPr>
      <w:r>
        <w:t>II. P</w:t>
      </w:r>
      <w:r w:rsidR="000D5A32">
        <w:t>ředmět smlouvy</w:t>
      </w:r>
    </w:p>
    <w:p w14:paraId="2141072A" w14:textId="77777777" w:rsidR="00E820DF" w:rsidRDefault="00E820DF"/>
    <w:p w14:paraId="1B7DF1A4" w14:textId="1A81DC57"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JčK“),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>HZS JčK</w:t>
      </w:r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>PCO HZS JčK</w:t>
      </w:r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14:paraId="49ABEAD5" w14:textId="77777777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14:paraId="635CC771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14:paraId="795C20A0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14:paraId="5E5C8D83" w14:textId="74B9EBFD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</w:p>
    <w:p w14:paraId="1FADD04E" w14:textId="4515D9B3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14:paraId="6A1D0185" w14:textId="77777777" w:rsidR="00E820DF" w:rsidRDefault="008C3495" w:rsidP="006E0957">
      <w:pPr>
        <w:pStyle w:val="Zkladntextodsazen"/>
        <w:suppressAutoHyphens/>
        <w:ind w:hanging="426"/>
        <w:jc w:val="both"/>
      </w:pPr>
      <w:r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14:paraId="75D04C91" w14:textId="77777777"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14:paraId="60500D0D" w14:textId="77777777" w:rsidR="009520A9" w:rsidRDefault="009520A9" w:rsidP="006E0957">
      <w:pPr>
        <w:suppressAutoHyphens/>
        <w:ind w:left="426" w:hanging="426"/>
        <w:jc w:val="both"/>
      </w:pPr>
    </w:p>
    <w:p w14:paraId="53163D2D" w14:textId="7CD331DD" w:rsidR="000D5A32" w:rsidRPr="0060282F" w:rsidRDefault="000D5A32" w:rsidP="00DF5E3D">
      <w:pPr>
        <w:pStyle w:val="Nadpis1"/>
      </w:pPr>
      <w:r w:rsidRPr="0060282F">
        <w:lastRenderedPageBreak/>
        <w:t xml:space="preserve">III.  Povinnosti </w:t>
      </w:r>
      <w:r w:rsidR="00AB10C6">
        <w:t>provozovatele ZDP</w:t>
      </w:r>
    </w:p>
    <w:p w14:paraId="1735D3C6" w14:textId="77777777" w:rsidR="000D5A32" w:rsidRPr="0060282F" w:rsidRDefault="000D5A32" w:rsidP="00DF5E3D">
      <w:pPr>
        <w:jc w:val="both"/>
      </w:pPr>
    </w:p>
    <w:p w14:paraId="070A000A" w14:textId="7096C207"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14:paraId="7AFD8A02" w14:textId="62BE34D3"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14:paraId="02DCBEBD" w14:textId="036DAA8C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14:paraId="03FD48A9" w14:textId="77777777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14:paraId="1B25D76A" w14:textId="46162F5B"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14:paraId="451A7F15" w14:textId="65442106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14:paraId="6B7D8B69" w14:textId="7D9756D5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14:paraId="5341E3E3" w14:textId="67D99EF8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14:paraId="034D0E14" w14:textId="1E354D2A"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14:paraId="23939E67" w14:textId="77777777" w:rsidR="000D5A32" w:rsidRDefault="000D5A32" w:rsidP="00DF5E3D">
      <w:pPr>
        <w:jc w:val="both"/>
      </w:pPr>
    </w:p>
    <w:p w14:paraId="713094E1" w14:textId="77777777" w:rsidR="000D5A32" w:rsidRDefault="000D5A32" w:rsidP="00DF5E3D">
      <w:pPr>
        <w:pStyle w:val="Nadpis1"/>
      </w:pPr>
      <w:r>
        <w:t>IV.  Povinnosti provozovatele EPS</w:t>
      </w:r>
    </w:p>
    <w:p w14:paraId="6FCC762B" w14:textId="77777777" w:rsidR="000D5A32" w:rsidRPr="003C2126" w:rsidRDefault="000D5A32" w:rsidP="00DF5E3D">
      <w:pPr>
        <w:jc w:val="both"/>
      </w:pPr>
    </w:p>
    <w:p w14:paraId="11DE4855" w14:textId="642239FD"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r w:rsidR="00BD56F8">
        <w:rPr>
          <w:szCs w:val="24"/>
        </w:rPr>
        <w:t>JčK</w:t>
      </w:r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14:paraId="1789B056" w14:textId="541BD9B9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14:paraId="183E8359" w14:textId="585CF1B3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Sb.</w:t>
      </w:r>
      <w:r w:rsidR="003326A1">
        <w:rPr>
          <w:szCs w:val="24"/>
        </w:rPr>
        <w:t>.</w:t>
      </w:r>
    </w:p>
    <w:p w14:paraId="3141B856" w14:textId="16D91BA6"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projektovou dokumentaci </w:t>
      </w:r>
      <w:r w:rsidR="00760BF6" w:rsidRPr="00760BF6">
        <w:t xml:space="preserve">skutečného provedení stavby </w:t>
      </w:r>
      <w:r w:rsidR="00442741">
        <w:t>EPS 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14:paraId="41498E43" w14:textId="539144BC"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</w:p>
    <w:p w14:paraId="3DE38412" w14:textId="0677FC93"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14:paraId="5C4E774F" w14:textId="010B7943" w:rsidR="00537017" w:rsidRPr="006A19D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6A19D0">
        <w:rPr>
          <w:szCs w:val="24"/>
        </w:rPr>
        <w:t xml:space="preserve">Provozovatel EPS – </w:t>
      </w:r>
      <w:r w:rsidR="006A19D0" w:rsidRPr="006A19D0">
        <w:rPr>
          <w:szCs w:val="24"/>
        </w:rPr>
        <w:t>K</w:t>
      </w:r>
      <w:r w:rsidRPr="006A19D0">
        <w:rPr>
          <w:szCs w:val="24"/>
        </w:rPr>
        <w:t>ontakt na objekt:</w:t>
      </w:r>
      <w:r w:rsidR="00415B84" w:rsidRPr="006A19D0">
        <w:rPr>
          <w:szCs w:val="24"/>
        </w:rPr>
        <w:t xml:space="preserve"> </w:t>
      </w:r>
      <w:r w:rsidR="006A19D0" w:rsidRPr="006A19D0">
        <w:rPr>
          <w:szCs w:val="24"/>
        </w:rPr>
        <w:t>P</w:t>
      </w:r>
      <w:r w:rsidR="00415B84" w:rsidRPr="006A19D0">
        <w:rPr>
          <w:szCs w:val="24"/>
        </w:rPr>
        <w:t>okladna</w:t>
      </w:r>
      <w:r w:rsidRPr="006A19D0">
        <w:rPr>
          <w:szCs w:val="24"/>
        </w:rPr>
        <w:tab/>
      </w:r>
      <w:r w:rsidRPr="006A19D0">
        <w:rPr>
          <w:szCs w:val="24"/>
        </w:rPr>
        <w:tab/>
      </w:r>
      <w:r w:rsidRPr="006A19D0">
        <w:rPr>
          <w:szCs w:val="24"/>
        </w:rPr>
        <w:tab/>
      </w:r>
      <w:r w:rsidRPr="006A19D0">
        <w:rPr>
          <w:szCs w:val="24"/>
        </w:rPr>
        <w:tab/>
        <w:t>telefon:</w:t>
      </w:r>
      <w:r w:rsidR="006A19D0" w:rsidRPr="006A19D0">
        <w:rPr>
          <w:szCs w:val="24"/>
        </w:rPr>
        <w:t xml:space="preserve"> </w:t>
      </w:r>
      <w:r w:rsidR="007F6B1F">
        <w:rPr>
          <w:szCs w:val="24"/>
        </w:rPr>
        <w:t>xxx</w:t>
      </w:r>
      <w:r w:rsidRPr="006A19D0">
        <w:rPr>
          <w:szCs w:val="24"/>
        </w:rPr>
        <w:tab/>
      </w:r>
    </w:p>
    <w:p w14:paraId="49440A8F" w14:textId="1B796094" w:rsidR="00537017" w:rsidRPr="006A19D0" w:rsidRDefault="00537017" w:rsidP="00537017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6A19D0">
        <w:rPr>
          <w:b/>
          <w:szCs w:val="24"/>
        </w:rPr>
        <w:tab/>
      </w:r>
      <w:r w:rsidR="006A19D0" w:rsidRPr="006A19D0">
        <w:rPr>
          <w:b/>
          <w:szCs w:val="24"/>
        </w:rPr>
        <w:t xml:space="preserve">       </w:t>
      </w:r>
      <w:r w:rsidR="006A19D0" w:rsidRPr="006A19D0">
        <w:rPr>
          <w:bCs/>
          <w:szCs w:val="24"/>
        </w:rPr>
        <w:t>Kontakt na objekt</w:t>
      </w:r>
      <w:r w:rsidR="006A19D0" w:rsidRPr="006A19D0">
        <w:rPr>
          <w:b/>
          <w:szCs w:val="24"/>
        </w:rPr>
        <w:t xml:space="preserve">: </w:t>
      </w:r>
      <w:r w:rsidR="006A19D0" w:rsidRPr="006A19D0">
        <w:rPr>
          <w:bCs/>
          <w:szCs w:val="24"/>
        </w:rPr>
        <w:t>Ostraha                                                  telefon:</w:t>
      </w:r>
      <w:r w:rsidR="006A19D0">
        <w:rPr>
          <w:bCs/>
          <w:szCs w:val="24"/>
        </w:rPr>
        <w:t xml:space="preserve"> </w:t>
      </w:r>
      <w:r w:rsidR="007F6B1F">
        <w:rPr>
          <w:bCs/>
          <w:szCs w:val="24"/>
        </w:rPr>
        <w:t>xxx</w:t>
      </w:r>
    </w:p>
    <w:p w14:paraId="5255E943" w14:textId="24E98224" w:rsidR="00537017" w:rsidRPr="006A19D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6A19D0">
        <w:rPr>
          <w:szCs w:val="24"/>
        </w:rPr>
        <w:t xml:space="preserve">1. </w:t>
      </w:r>
      <w:r w:rsidR="007F6B1F">
        <w:rPr>
          <w:szCs w:val="24"/>
        </w:rPr>
        <w:t>xxx</w:t>
      </w:r>
      <w:r w:rsidRPr="006A19D0">
        <w:rPr>
          <w:b/>
          <w:szCs w:val="24"/>
        </w:rPr>
        <w:tab/>
      </w:r>
      <w:r w:rsidRPr="006A19D0">
        <w:rPr>
          <w:b/>
          <w:szCs w:val="24"/>
        </w:rPr>
        <w:tab/>
      </w:r>
      <w:r w:rsidRPr="006A19D0">
        <w:rPr>
          <w:b/>
          <w:szCs w:val="24"/>
        </w:rPr>
        <w:tab/>
      </w:r>
      <w:r w:rsidRPr="006A19D0">
        <w:rPr>
          <w:b/>
          <w:szCs w:val="24"/>
        </w:rPr>
        <w:tab/>
      </w:r>
      <w:r w:rsidRPr="006A19D0">
        <w:rPr>
          <w:szCs w:val="24"/>
        </w:rPr>
        <w:t>telefon:</w:t>
      </w:r>
      <w:r w:rsidR="006A19D0">
        <w:rPr>
          <w:szCs w:val="24"/>
        </w:rPr>
        <w:t xml:space="preserve"> </w:t>
      </w:r>
      <w:r w:rsidR="007F6B1F">
        <w:rPr>
          <w:szCs w:val="24"/>
        </w:rPr>
        <w:t>xxx</w:t>
      </w:r>
    </w:p>
    <w:p w14:paraId="44E29CF6" w14:textId="540869C2" w:rsidR="00537017" w:rsidRPr="006A19D0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6A19D0">
        <w:rPr>
          <w:szCs w:val="24"/>
        </w:rPr>
        <w:t xml:space="preserve">2. </w:t>
      </w:r>
      <w:r w:rsidR="007F6B1F">
        <w:rPr>
          <w:szCs w:val="24"/>
        </w:rPr>
        <w:t>xxx</w:t>
      </w:r>
      <w:r w:rsidRPr="006A19D0">
        <w:rPr>
          <w:b/>
          <w:szCs w:val="24"/>
        </w:rPr>
        <w:tab/>
      </w:r>
      <w:r w:rsidRPr="006A19D0">
        <w:rPr>
          <w:b/>
          <w:szCs w:val="24"/>
        </w:rPr>
        <w:tab/>
      </w:r>
      <w:r w:rsidRPr="006A19D0">
        <w:rPr>
          <w:b/>
          <w:szCs w:val="24"/>
        </w:rPr>
        <w:tab/>
      </w:r>
      <w:r w:rsidRPr="006A19D0">
        <w:rPr>
          <w:b/>
          <w:szCs w:val="24"/>
        </w:rPr>
        <w:tab/>
      </w:r>
      <w:r w:rsidRPr="006A19D0">
        <w:rPr>
          <w:szCs w:val="24"/>
        </w:rPr>
        <w:t>telefon:</w:t>
      </w:r>
      <w:r w:rsidR="006A19D0">
        <w:rPr>
          <w:szCs w:val="24"/>
        </w:rPr>
        <w:t xml:space="preserve"> </w:t>
      </w:r>
      <w:r w:rsidR="007F6B1F">
        <w:rPr>
          <w:szCs w:val="24"/>
        </w:rPr>
        <w:t>xxx</w:t>
      </w:r>
    </w:p>
    <w:p w14:paraId="44AC593E" w14:textId="79128F61" w:rsidR="00537017" w:rsidRPr="002348C1" w:rsidRDefault="00537017" w:rsidP="006A19D0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  <w:highlight w:val="yellow"/>
        </w:rPr>
      </w:pPr>
    </w:p>
    <w:p w14:paraId="22E86B21" w14:textId="63FC29B9" w:rsidR="001849D0" w:rsidRDefault="004365E8" w:rsidP="0052386A">
      <w:pPr>
        <w:pStyle w:val="Zkladntext"/>
        <w:suppressAutoHyphens/>
        <w:spacing w:after="0"/>
        <w:ind w:left="426" w:hanging="426"/>
        <w:jc w:val="both"/>
      </w:pPr>
      <w:r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 </w:t>
      </w:r>
      <w:r w:rsidR="00CD3FB9">
        <w:t>bodu</w:t>
      </w:r>
      <w:r w:rsidR="00E565BB">
        <w:t xml:space="preserve"> 4.5</w:t>
      </w:r>
      <w:r w:rsidR="004838D4">
        <w:t xml:space="preserve"> je provozovatel EPS povinen</w:t>
      </w:r>
      <w:r w:rsidR="00714B2F">
        <w:t xml:space="preserve"> do 24 hodin</w:t>
      </w:r>
      <w:r w:rsidR="004838D4">
        <w:t xml:space="preserve"> </w:t>
      </w:r>
      <w:r w:rsidR="00585F5B">
        <w:t xml:space="preserve">písemně </w:t>
      </w:r>
      <w:r w:rsidR="004838D4">
        <w:t>nahlásit</w:t>
      </w:r>
      <w:r w:rsidR="00585F5B">
        <w:t xml:space="preserve"> na e-mailovou adresu</w:t>
      </w:r>
      <w:r w:rsidR="007F6B1F">
        <w:t xml:space="preserve"> xxx</w:t>
      </w:r>
      <w:r w:rsidR="00585F5B">
        <w:t xml:space="preserve"> </w:t>
      </w:r>
    </w:p>
    <w:p w14:paraId="49628F07" w14:textId="20B1F237"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FC230D">
        <w:t>ve schránce</w:t>
      </w:r>
      <w:r w:rsidR="00775974">
        <w:t xml:space="preserve"> na Dokumentaci zdolávání požáru</w:t>
      </w:r>
      <w:r w:rsidR="004838D4" w:rsidRPr="001849D0">
        <w:t xml:space="preserve"> v blízkosti obslužného pole požární ochrany (OPPO). Zároveň zde musí být uložen pro zásahovou jednotku </w:t>
      </w:r>
      <w:r w:rsidR="00F17B54">
        <w:t xml:space="preserve">HZS JčK </w:t>
      </w:r>
      <w:r w:rsidR="004838D4" w:rsidRPr="001849D0">
        <w:t>návod ke zjištění přesné identifikace místa vzniku požáru</w:t>
      </w:r>
      <w:r w:rsidR="00645808">
        <w:t xml:space="preserve"> (plán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14:paraId="6515E8AA" w14:textId="7B39F3A7"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>Provozovatel EPS se zavazuje, že případnou poruchu nebo manipulaci se zařízením EPS ihned nahlásí na</w:t>
      </w:r>
      <w:r w:rsidR="0052386A">
        <w:t> </w:t>
      </w:r>
      <w:r>
        <w:t>telefonní číslo</w:t>
      </w:r>
      <w:r w:rsidR="007F6B1F">
        <w:t xml:space="preserve"> xxx</w:t>
      </w:r>
      <w:r w:rsidR="002344E5">
        <w:t xml:space="preserve"> </w:t>
      </w:r>
      <w:r w:rsidR="002B51AE" w:rsidRPr="002B51AE">
        <w:t>nebo</w:t>
      </w:r>
      <w:r w:rsidR="007F6B1F">
        <w:t xml:space="preserve"> xxx</w:t>
      </w:r>
      <w:r>
        <w:t>.</w:t>
      </w:r>
      <w:r w:rsidR="002344E5">
        <w:t xml:space="preserve">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14:paraId="148BBBE5" w14:textId="2ECC86AE"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>u planých poplachů (2 a více 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14:paraId="55C2A360" w14:textId="77777777" w:rsidR="00E0187A" w:rsidRDefault="00E0187A" w:rsidP="00E0187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14:paraId="4604F3E1" w14:textId="77777777"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14:paraId="470CD4FB" w14:textId="21EA948F" w:rsidR="004838D4" w:rsidRDefault="00CB043A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 xml:space="preserve">kušební provoz </w:t>
      </w:r>
      <w:r>
        <w:rPr>
          <w:szCs w:val="24"/>
        </w:rPr>
        <w:t>není</w:t>
      </w:r>
      <w:r w:rsidR="0087321B">
        <w:rPr>
          <w:szCs w:val="24"/>
        </w:rPr>
        <w:t xml:space="preserve"> stanoven</w:t>
      </w:r>
      <w:r w:rsidR="004838D4">
        <w:rPr>
          <w:szCs w:val="24"/>
        </w:rPr>
        <w:t>.</w:t>
      </w:r>
    </w:p>
    <w:p w14:paraId="4B4C49D0" w14:textId="77777777" w:rsidR="003F04A3" w:rsidRDefault="003F04A3" w:rsidP="006E0957">
      <w:pPr>
        <w:suppressAutoHyphens/>
        <w:ind w:left="426" w:hanging="426"/>
        <w:jc w:val="both"/>
      </w:pPr>
    </w:p>
    <w:p w14:paraId="48B89A83" w14:textId="77777777"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14:paraId="6D0C6748" w14:textId="77777777" w:rsidR="00E820DF" w:rsidRDefault="00E820DF" w:rsidP="006E0957">
      <w:pPr>
        <w:suppressAutoHyphens/>
        <w:jc w:val="both"/>
      </w:pPr>
    </w:p>
    <w:p w14:paraId="0FE3313E" w14:textId="21FE7FD3"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14:paraId="19E4C336" w14:textId="54C8A6E3"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14:paraId="78219E1E" w14:textId="3D34C628"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14:paraId="3CBBEB3F" w14:textId="0F3A5BC2"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14:paraId="103C9D97" w14:textId="75BD6E80" w:rsidR="00CD3FB9" w:rsidRDefault="00243635" w:rsidP="0032308A">
      <w:pPr>
        <w:pStyle w:val="Zkladntextodsazen3"/>
        <w:suppressAutoHyphens/>
        <w:ind w:left="993" w:hanging="567"/>
        <w:jc w:val="both"/>
      </w:pPr>
      <w:r>
        <w:t xml:space="preserve">6.2.3  </w:t>
      </w:r>
      <w:r w:rsidR="0032308A">
        <w:tab/>
      </w:r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14:paraId="00766B32" w14:textId="32894A84"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14:paraId="59FB1FA0" w14:textId="77777777" w:rsidR="00BD608C" w:rsidRDefault="00BD608C" w:rsidP="006E0957">
      <w:pPr>
        <w:pStyle w:val="Zkladntextodsazen3"/>
        <w:suppressAutoHyphens/>
        <w:ind w:firstLine="0"/>
        <w:jc w:val="both"/>
      </w:pPr>
    </w:p>
    <w:p w14:paraId="11F91B64" w14:textId="77777777"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14:paraId="1C9C773D" w14:textId="77777777" w:rsidR="00E820DF" w:rsidRDefault="00E820DF" w:rsidP="006E0957">
      <w:pPr>
        <w:suppressAutoHyphens/>
        <w:jc w:val="both"/>
      </w:pPr>
    </w:p>
    <w:p w14:paraId="39972392" w14:textId="77777777"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>89/2012 Sb.</w:t>
      </w:r>
      <w:r w:rsidR="00BB4677">
        <w:rPr>
          <w:bCs/>
        </w:rPr>
        <w:t>.</w:t>
      </w:r>
    </w:p>
    <w:p w14:paraId="763C6BA8" w14:textId="6D59CDB6"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</w:t>
      </w:r>
      <w:r w:rsidR="00A265A9">
        <w:t xml:space="preserve"> xxx</w:t>
      </w:r>
      <w:r w:rsidR="004E3DDF" w:rsidRPr="00BB4677">
        <w:rPr>
          <w:b/>
        </w:rPr>
        <w:t xml:space="preserve"> Kč</w:t>
      </w:r>
      <w:r w:rsidR="00BB4677">
        <w:t>.</w:t>
      </w:r>
    </w:p>
    <w:p w14:paraId="06FB0126" w14:textId="32D1D491" w:rsidR="0074055F" w:rsidRDefault="004365E8" w:rsidP="006E0957">
      <w:pPr>
        <w:suppressAutoHyphens/>
        <w:ind w:left="426" w:hanging="426"/>
        <w:jc w:val="both"/>
      </w:pPr>
      <w:r>
        <w:t>7</w:t>
      </w:r>
      <w:r w:rsidR="009C63E0">
        <w:t>.3</w:t>
      </w:r>
      <w:r w:rsidR="009C63E0">
        <w:tab/>
        <w:t xml:space="preserve">Poplatek za střežení </w:t>
      </w:r>
      <w:r w:rsidR="00DB4683">
        <w:t>podle čl. II</w:t>
      </w:r>
      <w:r w:rsidR="00CD3FB9">
        <w:t xml:space="preserve"> bodu 2.1</w:t>
      </w:r>
      <w:r w:rsidR="009C63E0">
        <w:t xml:space="preserve"> </w:t>
      </w:r>
      <w:r w:rsidR="0074055F">
        <w:t>činí měsíčně</w:t>
      </w:r>
      <w:r w:rsidR="00A265A9">
        <w:t xml:space="preserve"> xxx</w:t>
      </w:r>
      <w:r w:rsidR="0074055F" w:rsidRPr="00BB4677">
        <w:rPr>
          <w:b/>
        </w:rPr>
        <w:t xml:space="preserve"> Kč</w:t>
      </w:r>
      <w:r w:rsidR="0074055F">
        <w:t>.</w:t>
      </w:r>
    </w:p>
    <w:p w14:paraId="6667BEAF" w14:textId="0CF64940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14:paraId="350B1C09" w14:textId="77777777"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14:paraId="063F64A8" w14:textId="77777777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87518">
        <w:t>6</w:t>
      </w:r>
      <w:r w:rsidR="00027F91">
        <w:tab/>
      </w:r>
      <w:r w:rsidR="00E820DF">
        <w:t>K ceně bude připočtena DPH podle platných předpisů.</w:t>
      </w:r>
    </w:p>
    <w:p w14:paraId="49053D46" w14:textId="77777777" w:rsidR="002A2A59" w:rsidRPr="002A2A59" w:rsidRDefault="002A2A59" w:rsidP="006E0957">
      <w:pPr>
        <w:suppressAutoHyphens/>
        <w:jc w:val="both"/>
      </w:pPr>
    </w:p>
    <w:p w14:paraId="690C81C4" w14:textId="77777777"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14:paraId="1FDB2627" w14:textId="77777777" w:rsidR="00E820DF" w:rsidRDefault="00E820DF" w:rsidP="006E0957">
      <w:pPr>
        <w:suppressAutoHyphens/>
        <w:jc w:val="both"/>
      </w:pPr>
    </w:p>
    <w:p w14:paraId="355379DD" w14:textId="472AD96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14:paraId="5E76E900" w14:textId="776FE2A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14:paraId="12D59D6A" w14:textId="77777777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14:paraId="28049B04" w14:textId="0DBAE7AE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14:paraId="53BBA212" w14:textId="77777777" w:rsidR="00C57FAD" w:rsidRDefault="00C57FAD" w:rsidP="006E0957">
      <w:pPr>
        <w:pStyle w:val="Nadpis1"/>
        <w:suppressAutoHyphens/>
      </w:pPr>
    </w:p>
    <w:p w14:paraId="60458087" w14:textId="77777777"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14:paraId="65609BC6" w14:textId="77777777" w:rsidR="00E820DF" w:rsidRDefault="00E820DF" w:rsidP="006E0957">
      <w:pPr>
        <w:suppressAutoHyphens/>
        <w:jc w:val="both"/>
      </w:pPr>
    </w:p>
    <w:p w14:paraId="4644E7E0" w14:textId="0C3C413A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11609B" w:rsidRPr="0011609B">
        <w:t>10</w:t>
      </w:r>
      <w:r w:rsidR="00E820DF" w:rsidRPr="0011609B">
        <w:t>0,-</w:t>
      </w:r>
      <w:r w:rsidR="005517B9" w:rsidRPr="0011609B">
        <w:t>- Kč</w:t>
      </w:r>
      <w:r w:rsidR="00E820DF">
        <w:t>.</w:t>
      </w:r>
    </w:p>
    <w:p w14:paraId="5C805A42" w14:textId="413B889B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14:paraId="7268D0B6" w14:textId="77777777" w:rsidR="00B63BB0" w:rsidRDefault="00B63BB0" w:rsidP="006E0957">
      <w:pPr>
        <w:suppressAutoHyphens/>
        <w:ind w:left="426" w:hanging="426"/>
        <w:jc w:val="both"/>
      </w:pPr>
    </w:p>
    <w:p w14:paraId="431386AB" w14:textId="23F468E5"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14:paraId="5F222F27" w14:textId="77777777"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3D77CDA0" w14:textId="4B42544E"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14:paraId="38184087" w14:textId="5A081241"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14:paraId="157046E0" w14:textId="77777777" w:rsidR="006150CB" w:rsidRPr="00E22A7F" w:rsidRDefault="006150CB" w:rsidP="006150CB">
      <w:pPr>
        <w:suppressAutoHyphens/>
        <w:ind w:left="567" w:hanging="567"/>
        <w:jc w:val="both"/>
      </w:pPr>
      <w:r w:rsidRPr="00E22A7F"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14:paraId="0F5BABF6" w14:textId="77777777"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14:paraId="4AE0B2C4" w14:textId="77777777"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14:paraId="2936DE19" w14:textId="77777777" w:rsidR="004365E8" w:rsidRDefault="004365E8" w:rsidP="00DF5E3D">
      <w:pPr>
        <w:jc w:val="both"/>
      </w:pPr>
    </w:p>
    <w:p w14:paraId="38F33734" w14:textId="18CC1BE3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> HZS JčK</w:t>
      </w:r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14:paraId="161E8DF1" w14:textId="59EAFC82"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27BD5">
        <w:t>S</w:t>
      </w:r>
      <w:r w:rsidR="001C3A88" w:rsidRPr="001C3A88">
        <w:t>mlouva nabývá platnosti</w:t>
      </w:r>
      <w:r w:rsidR="001C3A88">
        <w:t xml:space="preserve"> </w:t>
      </w:r>
      <w:r w:rsidR="001C3A88" w:rsidRPr="001C3A88">
        <w:t>dnem po</w:t>
      </w:r>
      <w:r w:rsidR="001C3A88">
        <w:t>dpisu oběma smluvními stranami.</w:t>
      </w:r>
      <w:r w:rsidR="00CB043A" w:rsidRPr="00CB043A">
        <w:t xml:space="preserve"> </w:t>
      </w:r>
      <w:r w:rsidR="00CB043A">
        <w:t xml:space="preserve">Účinnosti nabývá okamžikem platnosti a </w:t>
      </w:r>
      <w:r w:rsidR="00CB043A" w:rsidRPr="00227BD5">
        <w:t>účinnosti</w:t>
      </w:r>
      <w:r w:rsidR="00CB043A">
        <w:t xml:space="preserve"> nové smlouvy mezi provozovatelem EPS a HZS JčK (dle bodu 11.1) a př</w:t>
      </w:r>
      <w:r w:rsidR="00AB5BCC">
        <w:t>íp.</w:t>
      </w:r>
      <w:r w:rsidR="00CB043A">
        <w:t xml:space="preserve"> jejím zveřejnění</w:t>
      </w:r>
      <w:r w:rsidR="00AB5BCC">
        <w:t>m</w:t>
      </w:r>
      <w:r w:rsidR="00CB043A">
        <w:t xml:space="preserve"> </w:t>
      </w:r>
      <w:r w:rsidR="00227BD5">
        <w:t xml:space="preserve">v registru smluv </w:t>
      </w:r>
      <w:r w:rsidR="00CB043A">
        <w:t>(dle bodu 11.3).</w:t>
      </w:r>
      <w:r w:rsidR="00AB5BCC">
        <w:t xml:space="preserve"> Podmínkou účinnosti je tedy splnění všech povinných podmínek. </w:t>
      </w:r>
    </w:p>
    <w:p w14:paraId="4156C77F" w14:textId="5BC521E9"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účinnosti až dnem jejího uveřejnění</w:t>
      </w:r>
      <w:r w:rsidR="001C3A88">
        <w:t xml:space="preserve"> (podmínka uzavření smlouvy s HZS JčK tímto není dotčena)</w:t>
      </w:r>
      <w:r w:rsidR="001C3A88" w:rsidRPr="001C3A88">
        <w:t>.</w:t>
      </w:r>
    </w:p>
    <w:p w14:paraId="05BDD672" w14:textId="04AFC462"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14:paraId="7FF5954E" w14:textId="2E06EDF6" w:rsidR="00AB5BCC" w:rsidRDefault="00AB5BCC" w:rsidP="00227BD5">
      <w:pPr>
        <w:suppressAutoHyphens/>
        <w:ind w:left="567" w:hanging="567"/>
        <w:jc w:val="both"/>
      </w:pPr>
      <w:r>
        <w:t xml:space="preserve">11.4   </w:t>
      </w:r>
      <w:r w:rsidR="00227BD5">
        <w:t xml:space="preserve"> S</w:t>
      </w:r>
      <w:r>
        <w:t>mlouva představuje úplnou dohodu smluvních stran týkající se předmětu smlouvy a ke dni účinnosti této</w:t>
      </w:r>
      <w:r w:rsidR="00227BD5">
        <w:t xml:space="preserve"> </w:t>
      </w:r>
      <w:r>
        <w:t xml:space="preserve">smlouvy plně nahrazuje smlouvu </w:t>
      </w:r>
      <w:r w:rsidRPr="00420845">
        <w:t xml:space="preserve">č. </w:t>
      </w:r>
      <w:r w:rsidR="005301C7" w:rsidRPr="005301C7">
        <w:t>377/300/2020</w:t>
      </w:r>
      <w:r w:rsidR="005301C7">
        <w:t>, resp.</w:t>
      </w:r>
      <w:r w:rsidR="005301C7" w:rsidRPr="005301C7">
        <w:t xml:space="preserve"> S 210/062/PCO-ZDP</w:t>
      </w:r>
      <w:r w:rsidR="005301C7">
        <w:t xml:space="preserve"> </w:t>
      </w:r>
      <w:r>
        <w:t>uzavřenou dne</w:t>
      </w:r>
      <w:r w:rsidR="00420845">
        <w:t xml:space="preserve"> </w:t>
      </w:r>
      <w:r w:rsidR="005301C7">
        <w:t>11</w:t>
      </w:r>
      <w:r w:rsidR="00F505D4" w:rsidRPr="00F505D4">
        <w:t>.</w:t>
      </w:r>
      <w:r w:rsidR="005301C7">
        <w:t>12</w:t>
      </w:r>
      <w:r w:rsidR="00F505D4" w:rsidRPr="00F505D4">
        <w:t>.2020</w:t>
      </w:r>
      <w:r w:rsidR="00420845">
        <w:t>.</w:t>
      </w:r>
    </w:p>
    <w:p w14:paraId="14E59154" w14:textId="7EF0AF4D"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5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neurčitou</w:t>
      </w:r>
      <w:r w:rsidR="00E820DF">
        <w:t>.</w:t>
      </w:r>
    </w:p>
    <w:p w14:paraId="4604FA5D" w14:textId="056F500C"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</w:t>
      </w:r>
      <w:r w:rsidR="00AD66FB">
        <w:t>6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14:paraId="48059A20" w14:textId="707BEB71"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14:paraId="19F69D63" w14:textId="77777777"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14:paraId="250097B0" w14:textId="4EB502E9"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 </w:t>
      </w:r>
      <w:r w:rsidR="00AD66FB">
        <w:t xml:space="preserve">bez náhrady </w:t>
      </w:r>
      <w:r w:rsidRPr="002868BF">
        <w:t>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JčK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14:paraId="22C801AC" w14:textId="36C12D6F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7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14:paraId="6DF4E8F1" w14:textId="04B776B1" w:rsidR="00AF2ACC" w:rsidRPr="001F507B" w:rsidRDefault="00AF2ACC" w:rsidP="006E0957">
      <w:pPr>
        <w:suppressAutoHyphens/>
        <w:ind w:left="567" w:hanging="567"/>
        <w:jc w:val="both"/>
      </w:pPr>
      <w:r>
        <w:t>11.</w:t>
      </w:r>
      <w:r w:rsidR="00AD66FB">
        <w:t>8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14:paraId="67994E00" w14:textId="7AE1C0C6"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9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14:paraId="7F5237EE" w14:textId="77777777" w:rsidR="00CC76EC" w:rsidRDefault="009A5D47" w:rsidP="006E0957">
      <w:pPr>
        <w:suppressAutoHyphens/>
        <w:ind w:left="567" w:hanging="567"/>
        <w:jc w:val="both"/>
      </w:pPr>
      <w:r>
        <w:t xml:space="preserve">  </w:t>
      </w:r>
    </w:p>
    <w:p w14:paraId="32E0627E" w14:textId="77777777" w:rsidR="003C7508" w:rsidRDefault="003C7508" w:rsidP="006E0957">
      <w:pPr>
        <w:suppressAutoHyphens/>
        <w:ind w:left="567" w:hanging="567"/>
        <w:jc w:val="both"/>
      </w:pPr>
    </w:p>
    <w:p w14:paraId="625C0C12" w14:textId="77777777" w:rsidR="003C7508" w:rsidRDefault="003C7508" w:rsidP="006E0957">
      <w:pPr>
        <w:suppressAutoHyphens/>
        <w:ind w:left="567" w:hanging="567"/>
        <w:jc w:val="both"/>
      </w:pPr>
    </w:p>
    <w:p w14:paraId="630F12DF" w14:textId="77777777" w:rsidR="003C7508" w:rsidRDefault="003C7508" w:rsidP="006E0957">
      <w:pPr>
        <w:suppressAutoHyphens/>
        <w:ind w:left="567" w:hanging="567"/>
        <w:jc w:val="both"/>
      </w:pPr>
    </w:p>
    <w:p w14:paraId="320A7506" w14:textId="77777777" w:rsidR="003C7508" w:rsidRDefault="003C7508" w:rsidP="006E0957">
      <w:pPr>
        <w:suppressAutoHyphens/>
        <w:ind w:left="567" w:hanging="567"/>
        <w:jc w:val="both"/>
      </w:pPr>
    </w:p>
    <w:p w14:paraId="6E94B870" w14:textId="26D08C98" w:rsidR="00E820DF" w:rsidRDefault="005045F6">
      <w:pPr>
        <w:outlineLvl w:val="0"/>
      </w:pPr>
      <w:r w:rsidRPr="006A19D0">
        <w:t>V</w:t>
      </w:r>
      <w:r w:rsidR="00922B6F" w:rsidRPr="006A19D0">
        <w:t> </w:t>
      </w:r>
      <w:r w:rsidR="006A19D0" w:rsidRPr="006A19D0">
        <w:t>Praze</w:t>
      </w:r>
      <w:r w:rsidR="00926A8F" w:rsidRPr="006A19D0">
        <w:t xml:space="preserve">  </w:t>
      </w:r>
      <w:r w:rsidR="00E820DF" w:rsidRPr="006A19D0">
        <w:t>dne</w:t>
      </w:r>
      <w:r w:rsidR="006A19D0" w:rsidRPr="006A19D0">
        <w:t>: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BB4677">
        <w:tab/>
      </w:r>
      <w:r w:rsidR="00BB4677">
        <w:tab/>
      </w:r>
      <w:r w:rsidR="005517B9">
        <w:t xml:space="preserve"> </w:t>
      </w:r>
      <w:r w:rsidR="00220A95">
        <w:t xml:space="preserve">    </w:t>
      </w:r>
      <w:r w:rsidR="006A19D0">
        <w:t xml:space="preserve">                               </w:t>
      </w:r>
      <w:r w:rsidR="00220A95">
        <w:t xml:space="preserve">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CD3FB9">
        <w:t xml:space="preserve"> </w:t>
      </w:r>
      <w:r w:rsidR="005517B9">
        <w:t>dne</w:t>
      </w:r>
    </w:p>
    <w:p w14:paraId="447E0551" w14:textId="77777777" w:rsidR="00E820DF" w:rsidRDefault="00E820DF"/>
    <w:p w14:paraId="3E9C10EA" w14:textId="77777777" w:rsidR="00646CB7" w:rsidRDefault="00646CB7"/>
    <w:p w14:paraId="0441A87E" w14:textId="77777777" w:rsidR="00646CB7" w:rsidRDefault="00646CB7"/>
    <w:p w14:paraId="47DB2636" w14:textId="77777777" w:rsidR="003C7508" w:rsidRDefault="003C7508"/>
    <w:p w14:paraId="1E4575AD" w14:textId="77777777" w:rsidR="003C7508" w:rsidRDefault="003C7508"/>
    <w:p w14:paraId="0F268CA6" w14:textId="77777777" w:rsidR="003C7508" w:rsidRDefault="003C7508"/>
    <w:p w14:paraId="5C0948E5" w14:textId="77777777" w:rsidR="003C7508" w:rsidRDefault="003C7508"/>
    <w:p w14:paraId="69374920" w14:textId="24873EA5" w:rsidR="00646CB7" w:rsidRDefault="00E820DF" w:rsidP="00646CB7"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646CB7">
        <w:tab/>
      </w:r>
      <w:r w:rsidR="00646CB7">
        <w:tab/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14:paraId="34339A30" w14:textId="0ED1D709" w:rsidR="00EF3AD6" w:rsidRDefault="008C3495" w:rsidP="00646CB7">
      <w:r>
        <w:t>pr</w:t>
      </w:r>
      <w:r w:rsidR="00E820DF">
        <w:t>o</w:t>
      </w:r>
      <w:r>
        <w:t>vozovatel EPS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</w:t>
      </w:r>
      <w:r w:rsidR="000804AC">
        <w:t xml:space="preserve"> </w:t>
      </w:r>
      <w:r w:rsidR="005517B9">
        <w:t xml:space="preserve">       </w:t>
      </w:r>
      <w:r w:rsidR="007B290C">
        <w:t>provozovatel ZDP</w:t>
      </w:r>
    </w:p>
    <w:sectPr w:rsidR="00EF3AD6" w:rsidSect="00946E23">
      <w:footerReference w:type="default" r:id="rId9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7CF9" w14:textId="77777777" w:rsidR="00422000" w:rsidRDefault="00422000" w:rsidP="00FA5235">
      <w:r>
        <w:separator/>
      </w:r>
    </w:p>
  </w:endnote>
  <w:endnote w:type="continuationSeparator" w:id="0">
    <w:p w14:paraId="1E5D32A3" w14:textId="77777777" w:rsidR="00422000" w:rsidRDefault="00422000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541A" w14:textId="77777777" w:rsidR="00FA5235" w:rsidRDefault="00FA523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3B6F45" w14:textId="77777777" w:rsidR="00FA5235" w:rsidRDefault="00FA5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3C87" w14:textId="77777777" w:rsidR="00422000" w:rsidRDefault="00422000" w:rsidP="00FA5235">
      <w:r>
        <w:separator/>
      </w:r>
    </w:p>
  </w:footnote>
  <w:footnote w:type="continuationSeparator" w:id="0">
    <w:p w14:paraId="5B71F1B6" w14:textId="77777777" w:rsidR="00422000" w:rsidRDefault="00422000" w:rsidP="00F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6"/>
    <w:rsid w:val="00003CBC"/>
    <w:rsid w:val="0000723C"/>
    <w:rsid w:val="00010EAF"/>
    <w:rsid w:val="0001243E"/>
    <w:rsid w:val="000150D7"/>
    <w:rsid w:val="000242A9"/>
    <w:rsid w:val="00027F91"/>
    <w:rsid w:val="00033B81"/>
    <w:rsid w:val="00034480"/>
    <w:rsid w:val="00041CBC"/>
    <w:rsid w:val="00042E00"/>
    <w:rsid w:val="00042F41"/>
    <w:rsid w:val="0004437B"/>
    <w:rsid w:val="00047AC8"/>
    <w:rsid w:val="00051EFC"/>
    <w:rsid w:val="000555B2"/>
    <w:rsid w:val="00056E35"/>
    <w:rsid w:val="00064A0F"/>
    <w:rsid w:val="00066140"/>
    <w:rsid w:val="00071478"/>
    <w:rsid w:val="00076399"/>
    <w:rsid w:val="000804AC"/>
    <w:rsid w:val="0008694D"/>
    <w:rsid w:val="000927FC"/>
    <w:rsid w:val="00092AE3"/>
    <w:rsid w:val="00095658"/>
    <w:rsid w:val="000967D8"/>
    <w:rsid w:val="000B17DE"/>
    <w:rsid w:val="000C616C"/>
    <w:rsid w:val="000D5A32"/>
    <w:rsid w:val="000E4FBE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7736"/>
    <w:rsid w:val="001344AE"/>
    <w:rsid w:val="00152BD9"/>
    <w:rsid w:val="001532C8"/>
    <w:rsid w:val="0016504D"/>
    <w:rsid w:val="001678C4"/>
    <w:rsid w:val="001849B9"/>
    <w:rsid w:val="001849D0"/>
    <w:rsid w:val="001922D2"/>
    <w:rsid w:val="00192F98"/>
    <w:rsid w:val="001A247D"/>
    <w:rsid w:val="001A6C87"/>
    <w:rsid w:val="001B269F"/>
    <w:rsid w:val="001B7CEF"/>
    <w:rsid w:val="001C3979"/>
    <w:rsid w:val="001C3A88"/>
    <w:rsid w:val="001C4597"/>
    <w:rsid w:val="001C741A"/>
    <w:rsid w:val="001D0B52"/>
    <w:rsid w:val="001E570E"/>
    <w:rsid w:val="001F42C1"/>
    <w:rsid w:val="001F507B"/>
    <w:rsid w:val="001F53B3"/>
    <w:rsid w:val="002029AA"/>
    <w:rsid w:val="00203D15"/>
    <w:rsid w:val="00206596"/>
    <w:rsid w:val="00210476"/>
    <w:rsid w:val="002147AC"/>
    <w:rsid w:val="00220A95"/>
    <w:rsid w:val="0022674E"/>
    <w:rsid w:val="00226EC5"/>
    <w:rsid w:val="00227BD5"/>
    <w:rsid w:val="002344E5"/>
    <w:rsid w:val="002348C1"/>
    <w:rsid w:val="00234D8D"/>
    <w:rsid w:val="00240293"/>
    <w:rsid w:val="00240F6B"/>
    <w:rsid w:val="002427B0"/>
    <w:rsid w:val="00243635"/>
    <w:rsid w:val="00250EB6"/>
    <w:rsid w:val="00252534"/>
    <w:rsid w:val="002527D5"/>
    <w:rsid w:val="00252866"/>
    <w:rsid w:val="00257471"/>
    <w:rsid w:val="0026279E"/>
    <w:rsid w:val="0026441E"/>
    <w:rsid w:val="00276729"/>
    <w:rsid w:val="00276D79"/>
    <w:rsid w:val="002770A1"/>
    <w:rsid w:val="00280B09"/>
    <w:rsid w:val="002868BF"/>
    <w:rsid w:val="00287818"/>
    <w:rsid w:val="00292661"/>
    <w:rsid w:val="00293985"/>
    <w:rsid w:val="00295D31"/>
    <w:rsid w:val="002A2A59"/>
    <w:rsid w:val="002B5066"/>
    <w:rsid w:val="002B51AE"/>
    <w:rsid w:val="002F2355"/>
    <w:rsid w:val="002F68CB"/>
    <w:rsid w:val="00301C32"/>
    <w:rsid w:val="00307CC5"/>
    <w:rsid w:val="00307F8D"/>
    <w:rsid w:val="0031152F"/>
    <w:rsid w:val="0031262B"/>
    <w:rsid w:val="0032308A"/>
    <w:rsid w:val="003326A1"/>
    <w:rsid w:val="00335A61"/>
    <w:rsid w:val="0033765D"/>
    <w:rsid w:val="003419B5"/>
    <w:rsid w:val="00341F27"/>
    <w:rsid w:val="003438D8"/>
    <w:rsid w:val="00347D0D"/>
    <w:rsid w:val="00350A7E"/>
    <w:rsid w:val="003556C2"/>
    <w:rsid w:val="00357391"/>
    <w:rsid w:val="0036001C"/>
    <w:rsid w:val="00360AF8"/>
    <w:rsid w:val="003674B9"/>
    <w:rsid w:val="0037657A"/>
    <w:rsid w:val="0038403A"/>
    <w:rsid w:val="003923D2"/>
    <w:rsid w:val="00392451"/>
    <w:rsid w:val="00396057"/>
    <w:rsid w:val="00397759"/>
    <w:rsid w:val="00397CEB"/>
    <w:rsid w:val="003A21AB"/>
    <w:rsid w:val="003A573E"/>
    <w:rsid w:val="003A7DB7"/>
    <w:rsid w:val="003C01C3"/>
    <w:rsid w:val="003C114B"/>
    <w:rsid w:val="003C2126"/>
    <w:rsid w:val="003C7508"/>
    <w:rsid w:val="003D4B53"/>
    <w:rsid w:val="003E0F24"/>
    <w:rsid w:val="003E6667"/>
    <w:rsid w:val="003F011C"/>
    <w:rsid w:val="003F04A3"/>
    <w:rsid w:val="003F1A51"/>
    <w:rsid w:val="003F2828"/>
    <w:rsid w:val="003F6135"/>
    <w:rsid w:val="004079C3"/>
    <w:rsid w:val="00412224"/>
    <w:rsid w:val="0041331B"/>
    <w:rsid w:val="00413E35"/>
    <w:rsid w:val="00415B84"/>
    <w:rsid w:val="00416A5B"/>
    <w:rsid w:val="004202C8"/>
    <w:rsid w:val="00420845"/>
    <w:rsid w:val="00422000"/>
    <w:rsid w:val="00423BB6"/>
    <w:rsid w:val="004365E8"/>
    <w:rsid w:val="00437830"/>
    <w:rsid w:val="00442741"/>
    <w:rsid w:val="00451EED"/>
    <w:rsid w:val="00453EC7"/>
    <w:rsid w:val="00456762"/>
    <w:rsid w:val="004633C4"/>
    <w:rsid w:val="00482CD0"/>
    <w:rsid w:val="004838D4"/>
    <w:rsid w:val="00485332"/>
    <w:rsid w:val="00492DF5"/>
    <w:rsid w:val="004A045A"/>
    <w:rsid w:val="004B3F0D"/>
    <w:rsid w:val="004B59D9"/>
    <w:rsid w:val="004B60C1"/>
    <w:rsid w:val="004E3DDF"/>
    <w:rsid w:val="004F3523"/>
    <w:rsid w:val="00503682"/>
    <w:rsid w:val="005045F6"/>
    <w:rsid w:val="0051360B"/>
    <w:rsid w:val="00514AED"/>
    <w:rsid w:val="0052386A"/>
    <w:rsid w:val="00523E0B"/>
    <w:rsid w:val="005301C7"/>
    <w:rsid w:val="00537017"/>
    <w:rsid w:val="0053796B"/>
    <w:rsid w:val="005422FE"/>
    <w:rsid w:val="005517B9"/>
    <w:rsid w:val="00554EC9"/>
    <w:rsid w:val="005578E2"/>
    <w:rsid w:val="0056552B"/>
    <w:rsid w:val="00566C33"/>
    <w:rsid w:val="00575DA2"/>
    <w:rsid w:val="00585F5B"/>
    <w:rsid w:val="0059507E"/>
    <w:rsid w:val="005A1344"/>
    <w:rsid w:val="005A3E62"/>
    <w:rsid w:val="005A3ED9"/>
    <w:rsid w:val="005A7BE2"/>
    <w:rsid w:val="005C09AE"/>
    <w:rsid w:val="005D0BFD"/>
    <w:rsid w:val="005D3034"/>
    <w:rsid w:val="005D590C"/>
    <w:rsid w:val="005D5AF4"/>
    <w:rsid w:val="005E682B"/>
    <w:rsid w:val="005F0FED"/>
    <w:rsid w:val="0060282F"/>
    <w:rsid w:val="0060472B"/>
    <w:rsid w:val="0061044E"/>
    <w:rsid w:val="006150CB"/>
    <w:rsid w:val="00615E44"/>
    <w:rsid w:val="00627F55"/>
    <w:rsid w:val="00631551"/>
    <w:rsid w:val="00634B6B"/>
    <w:rsid w:val="00635333"/>
    <w:rsid w:val="00645808"/>
    <w:rsid w:val="00646CB7"/>
    <w:rsid w:val="006537A8"/>
    <w:rsid w:val="0066458B"/>
    <w:rsid w:val="006675D7"/>
    <w:rsid w:val="006837D8"/>
    <w:rsid w:val="0068423E"/>
    <w:rsid w:val="00686415"/>
    <w:rsid w:val="00693CD5"/>
    <w:rsid w:val="006956D7"/>
    <w:rsid w:val="006A094F"/>
    <w:rsid w:val="006A19D0"/>
    <w:rsid w:val="006B6C20"/>
    <w:rsid w:val="006C068D"/>
    <w:rsid w:val="006C457C"/>
    <w:rsid w:val="006D36C6"/>
    <w:rsid w:val="006D5DAA"/>
    <w:rsid w:val="006D759A"/>
    <w:rsid w:val="006E0957"/>
    <w:rsid w:val="006E2E36"/>
    <w:rsid w:val="006F6762"/>
    <w:rsid w:val="006F731B"/>
    <w:rsid w:val="00703468"/>
    <w:rsid w:val="00713534"/>
    <w:rsid w:val="007136DA"/>
    <w:rsid w:val="00714B2F"/>
    <w:rsid w:val="00715CDD"/>
    <w:rsid w:val="00732220"/>
    <w:rsid w:val="00737E2B"/>
    <w:rsid w:val="0074055F"/>
    <w:rsid w:val="00744161"/>
    <w:rsid w:val="00751DA7"/>
    <w:rsid w:val="007531C3"/>
    <w:rsid w:val="00754F17"/>
    <w:rsid w:val="00760BF6"/>
    <w:rsid w:val="007640E4"/>
    <w:rsid w:val="0076788F"/>
    <w:rsid w:val="00772FCA"/>
    <w:rsid w:val="00775974"/>
    <w:rsid w:val="007762A1"/>
    <w:rsid w:val="0078394E"/>
    <w:rsid w:val="00791611"/>
    <w:rsid w:val="00792BA4"/>
    <w:rsid w:val="007939FE"/>
    <w:rsid w:val="007A281A"/>
    <w:rsid w:val="007B290C"/>
    <w:rsid w:val="007C0DAD"/>
    <w:rsid w:val="007C263B"/>
    <w:rsid w:val="007C7F4C"/>
    <w:rsid w:val="007D221F"/>
    <w:rsid w:val="007D330C"/>
    <w:rsid w:val="007D48CB"/>
    <w:rsid w:val="007E08FA"/>
    <w:rsid w:val="007E229A"/>
    <w:rsid w:val="007F581B"/>
    <w:rsid w:val="007F5C73"/>
    <w:rsid w:val="007F6703"/>
    <w:rsid w:val="007F6B1F"/>
    <w:rsid w:val="00800414"/>
    <w:rsid w:val="00800816"/>
    <w:rsid w:val="008045DD"/>
    <w:rsid w:val="00807689"/>
    <w:rsid w:val="008113E6"/>
    <w:rsid w:val="00826126"/>
    <w:rsid w:val="008367A0"/>
    <w:rsid w:val="00840A03"/>
    <w:rsid w:val="00840E0B"/>
    <w:rsid w:val="008422F1"/>
    <w:rsid w:val="00844388"/>
    <w:rsid w:val="00860CF2"/>
    <w:rsid w:val="00863811"/>
    <w:rsid w:val="0087321B"/>
    <w:rsid w:val="00880376"/>
    <w:rsid w:val="00881CFF"/>
    <w:rsid w:val="008871FF"/>
    <w:rsid w:val="008A0C99"/>
    <w:rsid w:val="008A35CA"/>
    <w:rsid w:val="008A4B7C"/>
    <w:rsid w:val="008B097C"/>
    <w:rsid w:val="008B39C8"/>
    <w:rsid w:val="008B52B9"/>
    <w:rsid w:val="008C0106"/>
    <w:rsid w:val="008C1F68"/>
    <w:rsid w:val="008C3495"/>
    <w:rsid w:val="008C3C5E"/>
    <w:rsid w:val="008D2D06"/>
    <w:rsid w:val="008D4D3E"/>
    <w:rsid w:val="008E28EE"/>
    <w:rsid w:val="00900777"/>
    <w:rsid w:val="00904A2C"/>
    <w:rsid w:val="00906FD1"/>
    <w:rsid w:val="00914FEC"/>
    <w:rsid w:val="00916DD8"/>
    <w:rsid w:val="0091716A"/>
    <w:rsid w:val="00922B6F"/>
    <w:rsid w:val="00926A8F"/>
    <w:rsid w:val="00930C2D"/>
    <w:rsid w:val="009332B9"/>
    <w:rsid w:val="00935C3A"/>
    <w:rsid w:val="00936CC5"/>
    <w:rsid w:val="00944D23"/>
    <w:rsid w:val="00946E23"/>
    <w:rsid w:val="00947163"/>
    <w:rsid w:val="009520A9"/>
    <w:rsid w:val="00956C58"/>
    <w:rsid w:val="00964B7D"/>
    <w:rsid w:val="0096564F"/>
    <w:rsid w:val="00971747"/>
    <w:rsid w:val="0097759D"/>
    <w:rsid w:val="00981286"/>
    <w:rsid w:val="009929EE"/>
    <w:rsid w:val="009933B1"/>
    <w:rsid w:val="00995A78"/>
    <w:rsid w:val="00996695"/>
    <w:rsid w:val="009A469C"/>
    <w:rsid w:val="009A5D47"/>
    <w:rsid w:val="009A68C4"/>
    <w:rsid w:val="009C0423"/>
    <w:rsid w:val="009C2E87"/>
    <w:rsid w:val="009C63E0"/>
    <w:rsid w:val="009F1A5D"/>
    <w:rsid w:val="009F3935"/>
    <w:rsid w:val="009F3F1A"/>
    <w:rsid w:val="00A00DD3"/>
    <w:rsid w:val="00A04B9F"/>
    <w:rsid w:val="00A24E8D"/>
    <w:rsid w:val="00A265A9"/>
    <w:rsid w:val="00A33AD5"/>
    <w:rsid w:val="00A349D1"/>
    <w:rsid w:val="00A353FF"/>
    <w:rsid w:val="00A406C7"/>
    <w:rsid w:val="00A43979"/>
    <w:rsid w:val="00A5066B"/>
    <w:rsid w:val="00A5140A"/>
    <w:rsid w:val="00A51817"/>
    <w:rsid w:val="00A576F4"/>
    <w:rsid w:val="00A57B57"/>
    <w:rsid w:val="00A6654F"/>
    <w:rsid w:val="00A74338"/>
    <w:rsid w:val="00A74CC2"/>
    <w:rsid w:val="00A75C70"/>
    <w:rsid w:val="00A84AC5"/>
    <w:rsid w:val="00A93F39"/>
    <w:rsid w:val="00A961FF"/>
    <w:rsid w:val="00A9739E"/>
    <w:rsid w:val="00AA4C71"/>
    <w:rsid w:val="00AB10C6"/>
    <w:rsid w:val="00AB5A38"/>
    <w:rsid w:val="00AB5BCC"/>
    <w:rsid w:val="00AB6CD2"/>
    <w:rsid w:val="00AB6EAC"/>
    <w:rsid w:val="00AC17FA"/>
    <w:rsid w:val="00AC4375"/>
    <w:rsid w:val="00AD02A4"/>
    <w:rsid w:val="00AD28FD"/>
    <w:rsid w:val="00AD66FB"/>
    <w:rsid w:val="00AD718C"/>
    <w:rsid w:val="00AF0F86"/>
    <w:rsid w:val="00AF2ACC"/>
    <w:rsid w:val="00AF4028"/>
    <w:rsid w:val="00B21E0C"/>
    <w:rsid w:val="00B32F7D"/>
    <w:rsid w:val="00B35BC7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92C9F"/>
    <w:rsid w:val="00B96B20"/>
    <w:rsid w:val="00B96D93"/>
    <w:rsid w:val="00BB0945"/>
    <w:rsid w:val="00BB4677"/>
    <w:rsid w:val="00BB61F4"/>
    <w:rsid w:val="00BB6DC9"/>
    <w:rsid w:val="00BC0391"/>
    <w:rsid w:val="00BC1D03"/>
    <w:rsid w:val="00BC449A"/>
    <w:rsid w:val="00BD1F24"/>
    <w:rsid w:val="00BD56F8"/>
    <w:rsid w:val="00BD608C"/>
    <w:rsid w:val="00BE32AE"/>
    <w:rsid w:val="00BF1C3A"/>
    <w:rsid w:val="00C108B1"/>
    <w:rsid w:val="00C222ED"/>
    <w:rsid w:val="00C3066E"/>
    <w:rsid w:val="00C3186B"/>
    <w:rsid w:val="00C369AF"/>
    <w:rsid w:val="00C36A94"/>
    <w:rsid w:val="00C42663"/>
    <w:rsid w:val="00C456B5"/>
    <w:rsid w:val="00C54DEB"/>
    <w:rsid w:val="00C57FAD"/>
    <w:rsid w:val="00C62015"/>
    <w:rsid w:val="00C76C68"/>
    <w:rsid w:val="00C8316E"/>
    <w:rsid w:val="00C87940"/>
    <w:rsid w:val="00C90FD5"/>
    <w:rsid w:val="00C914B0"/>
    <w:rsid w:val="00C95AC0"/>
    <w:rsid w:val="00CA4662"/>
    <w:rsid w:val="00CB043A"/>
    <w:rsid w:val="00CB1770"/>
    <w:rsid w:val="00CB5587"/>
    <w:rsid w:val="00CC1C88"/>
    <w:rsid w:val="00CC737C"/>
    <w:rsid w:val="00CC76EC"/>
    <w:rsid w:val="00CD3FB9"/>
    <w:rsid w:val="00CD5454"/>
    <w:rsid w:val="00CE0DBF"/>
    <w:rsid w:val="00CE2E66"/>
    <w:rsid w:val="00CE7648"/>
    <w:rsid w:val="00CF1E17"/>
    <w:rsid w:val="00D108BF"/>
    <w:rsid w:val="00D1312A"/>
    <w:rsid w:val="00D14CD3"/>
    <w:rsid w:val="00D15379"/>
    <w:rsid w:val="00D15D9F"/>
    <w:rsid w:val="00D2179B"/>
    <w:rsid w:val="00D31C80"/>
    <w:rsid w:val="00D41EF5"/>
    <w:rsid w:val="00D64D7B"/>
    <w:rsid w:val="00D80DDA"/>
    <w:rsid w:val="00D814B6"/>
    <w:rsid w:val="00D8230C"/>
    <w:rsid w:val="00D93778"/>
    <w:rsid w:val="00DB4683"/>
    <w:rsid w:val="00DB4A6F"/>
    <w:rsid w:val="00DB4F21"/>
    <w:rsid w:val="00DB7784"/>
    <w:rsid w:val="00DC0796"/>
    <w:rsid w:val="00DD0E0D"/>
    <w:rsid w:val="00DD60C0"/>
    <w:rsid w:val="00DE56A7"/>
    <w:rsid w:val="00DE78D9"/>
    <w:rsid w:val="00DE79FB"/>
    <w:rsid w:val="00DF06F9"/>
    <w:rsid w:val="00DF09D7"/>
    <w:rsid w:val="00DF5E3D"/>
    <w:rsid w:val="00DF6C99"/>
    <w:rsid w:val="00E0187A"/>
    <w:rsid w:val="00E02082"/>
    <w:rsid w:val="00E10085"/>
    <w:rsid w:val="00E171C3"/>
    <w:rsid w:val="00E22A7F"/>
    <w:rsid w:val="00E240B4"/>
    <w:rsid w:val="00E30C51"/>
    <w:rsid w:val="00E30CA8"/>
    <w:rsid w:val="00E34BCB"/>
    <w:rsid w:val="00E40019"/>
    <w:rsid w:val="00E4162B"/>
    <w:rsid w:val="00E4175C"/>
    <w:rsid w:val="00E45F9A"/>
    <w:rsid w:val="00E51D45"/>
    <w:rsid w:val="00E523FA"/>
    <w:rsid w:val="00E52A8D"/>
    <w:rsid w:val="00E565BB"/>
    <w:rsid w:val="00E56799"/>
    <w:rsid w:val="00E6068B"/>
    <w:rsid w:val="00E67663"/>
    <w:rsid w:val="00E740D5"/>
    <w:rsid w:val="00E820DF"/>
    <w:rsid w:val="00E87AAF"/>
    <w:rsid w:val="00E87CC7"/>
    <w:rsid w:val="00E97A12"/>
    <w:rsid w:val="00EB13AD"/>
    <w:rsid w:val="00EB3264"/>
    <w:rsid w:val="00EE5608"/>
    <w:rsid w:val="00EF1F01"/>
    <w:rsid w:val="00EF3AD6"/>
    <w:rsid w:val="00EF752B"/>
    <w:rsid w:val="00F0482A"/>
    <w:rsid w:val="00F10CF7"/>
    <w:rsid w:val="00F1206A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505D4"/>
    <w:rsid w:val="00F52452"/>
    <w:rsid w:val="00F52E7E"/>
    <w:rsid w:val="00F53EBD"/>
    <w:rsid w:val="00F61F29"/>
    <w:rsid w:val="00F6320E"/>
    <w:rsid w:val="00F64671"/>
    <w:rsid w:val="00F64850"/>
    <w:rsid w:val="00F65704"/>
    <w:rsid w:val="00F6648C"/>
    <w:rsid w:val="00F67AAB"/>
    <w:rsid w:val="00F81F7E"/>
    <w:rsid w:val="00F841A4"/>
    <w:rsid w:val="00F87518"/>
    <w:rsid w:val="00F92455"/>
    <w:rsid w:val="00F95DE5"/>
    <w:rsid w:val="00FA28AE"/>
    <w:rsid w:val="00FA3902"/>
    <w:rsid w:val="00FA5235"/>
    <w:rsid w:val="00FB369B"/>
    <w:rsid w:val="00FC230D"/>
    <w:rsid w:val="00FC24F0"/>
    <w:rsid w:val="00FD5466"/>
    <w:rsid w:val="00FF0D78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24E"/>
  <w15:docId w15:val="{C3B89A5C-5B68-4375-B1FA-A3F9FF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a@sph-elek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C379-516B-4865-BA71-AA6C6FC8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2197</Words>
  <Characters>12963</Characters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LinksUpToDate>false</LinksUpToDate>
  <CharactersWithSpaces>15130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2024-01-28T15:32:00Z</cp:lastPrinted>
  <dcterms:created xsi:type="dcterms:W3CDTF">2025-05-05T13:48:00Z</dcterms:created>
  <dcterms:modified xsi:type="dcterms:W3CDTF">2025-05-05T13:53:00Z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