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741399">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012C2CC0" w:rsidR="00FF1DD2" w:rsidRDefault="0008758A" w:rsidP="00903E9F">
      <w:r>
        <w:t>č.</w:t>
      </w:r>
      <w:r w:rsidR="007D0C11">
        <w:t xml:space="preserve"> </w:t>
      </w:r>
      <w:r>
        <w:t>účtu:</w:t>
      </w:r>
      <w:r w:rsidR="007D0C11">
        <w:t xml:space="preserve"> </w:t>
      </w:r>
      <w:r w:rsidR="00050927">
        <w:t>xxxxx</w:t>
      </w:r>
      <w:r w:rsidR="004656A7">
        <w:t xml:space="preserve"> </w:t>
      </w:r>
    </w:p>
    <w:p w14:paraId="49B62D10" w14:textId="77777777" w:rsidR="006F5764" w:rsidRDefault="006F5764" w:rsidP="00903E9F">
      <w:r>
        <w:t xml:space="preserve">Zastoupená: </w:t>
      </w:r>
      <w:r w:rsidR="0059753D" w:rsidRPr="00E901F3">
        <w:t>Ing</w:t>
      </w:r>
      <w:r w:rsidR="009976EB">
        <w:t>. Jakubem Kleindienstem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741399">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Ing. Josef Podrábský</w:t>
      </w:r>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0B8E5688" w:rsidR="00E93573" w:rsidRDefault="00787D58" w:rsidP="00E93573">
      <w:pPr>
        <w:rPr>
          <w:rFonts w:ascii="Verdana" w:hAnsi="Verdana"/>
          <w:color w:val="444444"/>
        </w:rPr>
      </w:pPr>
      <w:r>
        <w:t xml:space="preserve">č. ú.: </w:t>
      </w:r>
      <w:r w:rsidR="00050927">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741399">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741399">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741399">
        <w:rPr>
          <w:b/>
          <w:bCs/>
          <w:color w:val="auto"/>
        </w:rPr>
        <w:t>PEF ČZU</w:t>
      </w:r>
      <w:r w:rsidR="007D0C11">
        <w:rPr>
          <w:color w:val="auto"/>
        </w:rPr>
        <w:t>“), (dále také jen „</w:t>
      </w:r>
      <w:r w:rsidR="007D0C11" w:rsidRPr="00741399">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7A40A136" w14:textId="0657DC8B" w:rsidR="007E6095" w:rsidRPr="006C0256" w:rsidRDefault="00787D58" w:rsidP="006C0256">
      <w:pPr>
        <w:pStyle w:val="Zkladntext2"/>
        <w:numPr>
          <w:ilvl w:val="1"/>
          <w:numId w:val="1"/>
        </w:numPr>
        <w:rPr>
          <w:color w:val="auto"/>
        </w:rPr>
      </w:pPr>
      <w:r>
        <w:rPr>
          <w:color w:val="auto"/>
        </w:rPr>
        <w:t xml:space="preserve"> </w:t>
      </w:r>
      <w:r w:rsidR="005E0082">
        <w:rPr>
          <w:color w:val="auto"/>
        </w:rPr>
        <w:t xml:space="preserve">cyklus šesti video-přednášek </w:t>
      </w:r>
      <w:r w:rsidR="005E0082" w:rsidRPr="00884C69">
        <w:rPr>
          <w:color w:val="auto"/>
        </w:rPr>
        <w:t xml:space="preserve">kurzu </w:t>
      </w:r>
      <w:r w:rsidR="005E0082" w:rsidRPr="00E901F3">
        <w:rPr>
          <w:rFonts w:eastAsia="Times New Roman"/>
          <w:b/>
          <w:color w:val="auto"/>
        </w:rPr>
        <w:t>„</w:t>
      </w:r>
      <w:r w:rsidR="00073AF2">
        <w:rPr>
          <w:rFonts w:eastAsia="Times New Roman"/>
          <w:b/>
          <w:color w:val="auto"/>
        </w:rPr>
        <w:t>Němci a Češi: Společná cesta dějinami</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12312A78" w14:textId="52797643" w:rsidR="00631C09" w:rsidRDefault="00073AF2" w:rsidP="006C0256">
      <w:pPr>
        <w:pStyle w:val="Zkladntext2"/>
        <w:numPr>
          <w:ilvl w:val="3"/>
          <w:numId w:val="1"/>
        </w:numPr>
        <w:rPr>
          <w:bCs/>
          <w:color w:val="000000"/>
        </w:rPr>
      </w:pPr>
      <w:r w:rsidRPr="00073AF2">
        <w:rPr>
          <w:bCs/>
          <w:color w:val="000000"/>
        </w:rPr>
        <w:t>Německé menšiny ve světě: Od vzniku Německa po současnost</w:t>
      </w:r>
    </w:p>
    <w:p w14:paraId="081A1234" w14:textId="77777777" w:rsidR="00073AF2" w:rsidRDefault="00073AF2" w:rsidP="006C0256">
      <w:pPr>
        <w:pStyle w:val="Zkladntext2"/>
        <w:numPr>
          <w:ilvl w:val="3"/>
          <w:numId w:val="1"/>
        </w:numPr>
        <w:rPr>
          <w:bCs/>
          <w:color w:val="000000"/>
        </w:rPr>
      </w:pPr>
      <w:r w:rsidRPr="00073AF2">
        <w:rPr>
          <w:bCs/>
          <w:color w:val="000000"/>
        </w:rPr>
        <w:t>Česko-německé vztahy od středověku k první republice</w:t>
      </w:r>
    </w:p>
    <w:p w14:paraId="4B50EF02" w14:textId="77777777" w:rsidR="00073AF2" w:rsidRDefault="00073AF2" w:rsidP="006C0256">
      <w:pPr>
        <w:pStyle w:val="Zkladntext2"/>
        <w:numPr>
          <w:ilvl w:val="3"/>
          <w:numId w:val="1"/>
        </w:numPr>
        <w:rPr>
          <w:bCs/>
          <w:color w:val="000000"/>
        </w:rPr>
      </w:pPr>
      <w:r w:rsidRPr="00073AF2">
        <w:rPr>
          <w:bCs/>
          <w:color w:val="000000"/>
        </w:rPr>
        <w:t>Němci v meziválečném Československu: Spolužití a konflikty</w:t>
      </w:r>
    </w:p>
    <w:p w14:paraId="12328173" w14:textId="77777777" w:rsidR="00073AF2" w:rsidRDefault="00073AF2" w:rsidP="006C0256">
      <w:pPr>
        <w:pStyle w:val="Zkladntext2"/>
        <w:numPr>
          <w:ilvl w:val="3"/>
          <w:numId w:val="1"/>
        </w:numPr>
        <w:rPr>
          <w:bCs/>
          <w:color w:val="000000"/>
        </w:rPr>
      </w:pPr>
      <w:r w:rsidRPr="00073AF2">
        <w:rPr>
          <w:bCs/>
          <w:color w:val="000000"/>
        </w:rPr>
        <w:t>Druhá světová válka, Benešovy dekrety a odsun Němců</w:t>
      </w:r>
    </w:p>
    <w:p w14:paraId="22D17D64" w14:textId="73F4835C" w:rsidR="006C0256" w:rsidRDefault="00073AF2" w:rsidP="00073AF2">
      <w:pPr>
        <w:pStyle w:val="Zkladntext2"/>
        <w:numPr>
          <w:ilvl w:val="3"/>
          <w:numId w:val="1"/>
        </w:numPr>
        <w:rPr>
          <w:bCs/>
          <w:color w:val="000000"/>
        </w:rPr>
      </w:pPr>
      <w:r w:rsidRPr="00073AF2">
        <w:rPr>
          <w:bCs/>
          <w:color w:val="000000"/>
        </w:rPr>
        <w:t>Ztracené vesnice: Dědictví vysídlených obcí</w:t>
      </w:r>
    </w:p>
    <w:p w14:paraId="7BF16FA1" w14:textId="1BB192C2" w:rsidR="00073AF2" w:rsidRDefault="00073AF2" w:rsidP="00073AF2">
      <w:pPr>
        <w:pStyle w:val="Zkladntext2"/>
        <w:numPr>
          <w:ilvl w:val="3"/>
          <w:numId w:val="1"/>
        </w:numPr>
        <w:rPr>
          <w:bCs/>
          <w:color w:val="000000"/>
        </w:rPr>
      </w:pPr>
      <w:r w:rsidRPr="00073AF2">
        <w:rPr>
          <w:bCs/>
          <w:color w:val="000000"/>
        </w:rPr>
        <w:t>Sudetští Němci dnes: Kultura, identita a smíření</w:t>
      </w:r>
    </w:p>
    <w:p w14:paraId="372BD11E" w14:textId="77777777" w:rsidR="00073AF2" w:rsidRPr="006C0256" w:rsidRDefault="00073AF2" w:rsidP="006C0256">
      <w:pPr>
        <w:pStyle w:val="Zkladntext2"/>
        <w:rPr>
          <w:bCs/>
          <w:color w:val="000000"/>
        </w:rPr>
      </w:pPr>
    </w:p>
    <w:p w14:paraId="0336FDE3" w14:textId="66B61F41" w:rsidR="009A67C3" w:rsidRDefault="009A67C3" w:rsidP="009A67C3">
      <w:pPr>
        <w:pStyle w:val="Zkladntext2"/>
        <w:numPr>
          <w:ilvl w:val="1"/>
          <w:numId w:val="1"/>
        </w:numPr>
        <w:rPr>
          <w:color w:val="auto"/>
        </w:rPr>
      </w:pPr>
      <w:r>
        <w:rPr>
          <w:color w:val="auto"/>
        </w:rPr>
        <w:t>video</w:t>
      </w:r>
      <w:r w:rsidR="00764C40">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1065AAB5" w14:textId="77777777" w:rsidR="00631C09" w:rsidRPr="00613308" w:rsidRDefault="00F2781F" w:rsidP="001F00A7">
      <w:pPr>
        <w:ind w:left="927"/>
        <w:jc w:val="both"/>
        <w:rPr>
          <w:i/>
        </w:rPr>
      </w:pPr>
      <w:r w:rsidRPr="00613308">
        <w:rPr>
          <w:i/>
        </w:rPr>
        <w:t>*Názvy jsou pouze pracovní, mohou se v průběhu prací změnit.</w:t>
      </w:r>
    </w:p>
    <w:p w14:paraId="275290A9" w14:textId="32DD5C20"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073AF2">
        <w:rPr>
          <w:b/>
          <w:color w:val="auto"/>
        </w:rPr>
        <w:t>30</w:t>
      </w:r>
      <w:r w:rsidR="00F2781F" w:rsidRPr="00F61C43">
        <w:rPr>
          <w:b/>
          <w:color w:val="auto"/>
        </w:rPr>
        <w:t xml:space="preserve">. </w:t>
      </w:r>
      <w:r w:rsidR="00073AF2">
        <w:rPr>
          <w:b/>
          <w:color w:val="auto"/>
        </w:rPr>
        <w:t>6</w:t>
      </w:r>
      <w:r w:rsidR="00F2781F" w:rsidRPr="00F61C43">
        <w:rPr>
          <w:b/>
          <w:color w:val="auto"/>
        </w:rPr>
        <w:t>. 20</w:t>
      </w:r>
      <w:r w:rsidR="00621700" w:rsidRPr="00F61C43">
        <w:rPr>
          <w:b/>
          <w:color w:val="auto"/>
        </w:rPr>
        <w:t>2</w:t>
      </w:r>
      <w:r w:rsidR="00073AF2">
        <w:rPr>
          <w:b/>
          <w:color w:val="auto"/>
        </w:rPr>
        <w:t>5</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FB267D">
        <w:rPr>
          <w:color w:val="auto"/>
        </w:rPr>
        <w:t>Ing. Hana Balzerová, Ph.D.</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043B580A"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r w:rsidR="00501C6D">
        <w:rPr>
          <w:b/>
          <w:color w:val="auto"/>
        </w:rPr>
        <w:t>1</w:t>
      </w:r>
      <w:r w:rsidR="00D94025">
        <w:rPr>
          <w:b/>
          <w:color w:val="auto"/>
        </w:rPr>
        <w:t>4</w:t>
      </w:r>
      <w:r w:rsidR="00501C6D">
        <w:rPr>
          <w:b/>
          <w:color w:val="auto"/>
        </w:rPr>
        <w:t>0</w:t>
      </w:r>
      <w:r w:rsidR="00F61C43" w:rsidRPr="001722FD">
        <w:rPr>
          <w:b/>
          <w:color w:val="auto"/>
        </w:rPr>
        <w:t>.</w:t>
      </w:r>
      <w:r w:rsidR="00F2781F" w:rsidRPr="001722FD">
        <w:rPr>
          <w:b/>
          <w:color w:val="auto"/>
        </w:rPr>
        <w:t>000</w:t>
      </w:r>
      <w:r w:rsidR="00F61C43">
        <w:rPr>
          <w:color w:val="auto"/>
        </w:rPr>
        <w:t>,-</w:t>
      </w:r>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ust.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741399">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6E88506A"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w:t>
      </w:r>
      <w:r w:rsidR="00960580">
        <w:rPr>
          <w:color w:val="auto"/>
        </w:rPr>
        <w:t xml:space="preserve">výhradní </w:t>
      </w:r>
      <w:r w:rsidRPr="00C120A7">
        <w:rPr>
          <w:color w:val="auto"/>
        </w:rPr>
        <w:t xml:space="preserve">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7C70FD">
        <w:rPr>
          <w:color w:val="auto"/>
        </w:rPr>
        <w:t>3</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w:t>
      </w:r>
      <w:r w:rsidRPr="00C120A7">
        <w:rPr>
          <w:color w:val="auto"/>
        </w:rPr>
        <w:lastRenderedPageBreak/>
        <w:t>podoby elektronické. Zhotovitel 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741399">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741399">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77777777" w:rsidR="007F2B0D" w:rsidRDefault="009976EB" w:rsidP="006D3741">
      <w:pPr>
        <w:rPr>
          <w:color w:val="000000"/>
        </w:rPr>
      </w:pPr>
      <w:r>
        <w:rPr>
          <w:color w:val="000000"/>
        </w:rPr>
        <w:t>Ing. Jakub Kleindienst</w:t>
      </w:r>
      <w:r w:rsidR="007F2B0D">
        <w:rPr>
          <w:color w:val="000000"/>
        </w:rPr>
        <w:tab/>
      </w:r>
      <w:r w:rsidR="007F2B0D">
        <w:rPr>
          <w:color w:val="000000"/>
        </w:rPr>
        <w:tab/>
      </w:r>
      <w:r w:rsidR="007F2B0D">
        <w:rPr>
          <w:color w:val="000000"/>
        </w:rPr>
        <w:tab/>
      </w:r>
      <w:r w:rsidR="007F2B0D">
        <w:rPr>
          <w:color w:val="000000"/>
        </w:rPr>
        <w:tab/>
      </w:r>
      <w:r w:rsidR="007F2B0D">
        <w:rPr>
          <w:color w:val="000000"/>
        </w:rPr>
        <w:tab/>
        <w:t>Ing. Josef Podrábský</w:t>
      </w:r>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6CEA" w14:textId="77777777" w:rsidR="00D37784" w:rsidRDefault="00D37784">
      <w:r>
        <w:separator/>
      </w:r>
    </w:p>
  </w:endnote>
  <w:endnote w:type="continuationSeparator" w:id="0">
    <w:p w14:paraId="2EF4F8F0" w14:textId="77777777" w:rsidR="00D37784" w:rsidRDefault="00D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DC4F" w14:textId="77777777" w:rsidR="00D37784" w:rsidRDefault="00D37784">
      <w:r>
        <w:separator/>
      </w:r>
    </w:p>
  </w:footnote>
  <w:footnote w:type="continuationSeparator" w:id="0">
    <w:p w14:paraId="4D287457" w14:textId="77777777" w:rsidR="00D37784" w:rsidRDefault="00D3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9927" w14:textId="7E81E4B2" w:rsidR="00886657" w:rsidRPr="00741399" w:rsidRDefault="00886657" w:rsidP="00741399">
    <w:pPr>
      <w:pStyle w:val="Zhlav"/>
      <w:jc w:val="right"/>
      <w:rPr>
        <w:sz w:val="20"/>
        <w:szCs w:val="20"/>
      </w:rPr>
    </w:pPr>
    <w:r w:rsidRPr="00741399">
      <w:rPr>
        <w:sz w:val="20"/>
        <w:szCs w:val="20"/>
      </w:rPr>
      <w:t xml:space="preserve">PO </w:t>
    </w:r>
    <w:r w:rsidR="005B1D6E">
      <w:rPr>
        <w:sz w:val="20"/>
        <w:szCs w:val="20"/>
      </w:rPr>
      <w:t>803</w:t>
    </w:r>
    <w:r w:rsidRPr="00741399">
      <w:rPr>
        <w:sz w:val="20"/>
        <w:szCs w:val="20"/>
      </w:rPr>
      <w:t>/202</w:t>
    </w:r>
    <w:r w:rsidR="005B1D6E">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91"/>
    <w:rsid w:val="00002849"/>
    <w:rsid w:val="00004193"/>
    <w:rsid w:val="000165E8"/>
    <w:rsid w:val="00037371"/>
    <w:rsid w:val="0004327A"/>
    <w:rsid w:val="00047A44"/>
    <w:rsid w:val="00050927"/>
    <w:rsid w:val="000715CC"/>
    <w:rsid w:val="00073AF2"/>
    <w:rsid w:val="00073BA4"/>
    <w:rsid w:val="0008758A"/>
    <w:rsid w:val="00093A50"/>
    <w:rsid w:val="0009515E"/>
    <w:rsid w:val="000B4E33"/>
    <w:rsid w:val="000C0CFF"/>
    <w:rsid w:val="000C390E"/>
    <w:rsid w:val="000D5B4B"/>
    <w:rsid w:val="000D78DC"/>
    <w:rsid w:val="001008AF"/>
    <w:rsid w:val="00103233"/>
    <w:rsid w:val="0013527C"/>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1BBB"/>
    <w:rsid w:val="001F3278"/>
    <w:rsid w:val="002112C6"/>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77AE0"/>
    <w:rsid w:val="00393FB9"/>
    <w:rsid w:val="003944D2"/>
    <w:rsid w:val="00396C56"/>
    <w:rsid w:val="003A2054"/>
    <w:rsid w:val="003A29A8"/>
    <w:rsid w:val="003A49F5"/>
    <w:rsid w:val="003B3282"/>
    <w:rsid w:val="003B53AE"/>
    <w:rsid w:val="003C6C1F"/>
    <w:rsid w:val="003D416A"/>
    <w:rsid w:val="00410D76"/>
    <w:rsid w:val="00414101"/>
    <w:rsid w:val="004253EE"/>
    <w:rsid w:val="004271E8"/>
    <w:rsid w:val="00431BB6"/>
    <w:rsid w:val="00440010"/>
    <w:rsid w:val="004457D1"/>
    <w:rsid w:val="004656A7"/>
    <w:rsid w:val="00495409"/>
    <w:rsid w:val="004957A3"/>
    <w:rsid w:val="004C6BA9"/>
    <w:rsid w:val="004E2881"/>
    <w:rsid w:val="004F4C6B"/>
    <w:rsid w:val="004F6804"/>
    <w:rsid w:val="00501C6D"/>
    <w:rsid w:val="00502263"/>
    <w:rsid w:val="0050755F"/>
    <w:rsid w:val="00530FA9"/>
    <w:rsid w:val="00534BC4"/>
    <w:rsid w:val="00535A76"/>
    <w:rsid w:val="00572015"/>
    <w:rsid w:val="005760A0"/>
    <w:rsid w:val="00576A8B"/>
    <w:rsid w:val="0059753D"/>
    <w:rsid w:val="005A2339"/>
    <w:rsid w:val="005A39D3"/>
    <w:rsid w:val="005B1D6E"/>
    <w:rsid w:val="005E0082"/>
    <w:rsid w:val="005E340E"/>
    <w:rsid w:val="00601A78"/>
    <w:rsid w:val="006060A6"/>
    <w:rsid w:val="00607F89"/>
    <w:rsid w:val="0061348D"/>
    <w:rsid w:val="00621700"/>
    <w:rsid w:val="00622190"/>
    <w:rsid w:val="006251C2"/>
    <w:rsid w:val="00630543"/>
    <w:rsid w:val="00631C09"/>
    <w:rsid w:val="006340EA"/>
    <w:rsid w:val="00637035"/>
    <w:rsid w:val="006420C9"/>
    <w:rsid w:val="00650644"/>
    <w:rsid w:val="006525DD"/>
    <w:rsid w:val="00663163"/>
    <w:rsid w:val="0066717D"/>
    <w:rsid w:val="00677488"/>
    <w:rsid w:val="00686A7F"/>
    <w:rsid w:val="006A5187"/>
    <w:rsid w:val="006A5836"/>
    <w:rsid w:val="006C0256"/>
    <w:rsid w:val="006C1F4B"/>
    <w:rsid w:val="006C3F0D"/>
    <w:rsid w:val="006C7715"/>
    <w:rsid w:val="006D3741"/>
    <w:rsid w:val="006D3B7E"/>
    <w:rsid w:val="006D4E88"/>
    <w:rsid w:val="006D6C09"/>
    <w:rsid w:val="006F09C7"/>
    <w:rsid w:val="006F1091"/>
    <w:rsid w:val="006F5764"/>
    <w:rsid w:val="00723E14"/>
    <w:rsid w:val="0072565E"/>
    <w:rsid w:val="0072644D"/>
    <w:rsid w:val="00741399"/>
    <w:rsid w:val="00743445"/>
    <w:rsid w:val="00743613"/>
    <w:rsid w:val="00750181"/>
    <w:rsid w:val="007616A0"/>
    <w:rsid w:val="00764C40"/>
    <w:rsid w:val="00787D58"/>
    <w:rsid w:val="0079370A"/>
    <w:rsid w:val="00796C6E"/>
    <w:rsid w:val="007A4622"/>
    <w:rsid w:val="007A4FA1"/>
    <w:rsid w:val="007B3A7A"/>
    <w:rsid w:val="007B5951"/>
    <w:rsid w:val="007C1A8C"/>
    <w:rsid w:val="007C70FD"/>
    <w:rsid w:val="007D0C11"/>
    <w:rsid w:val="007E4CF0"/>
    <w:rsid w:val="007E6095"/>
    <w:rsid w:val="007F2B0D"/>
    <w:rsid w:val="007F72AD"/>
    <w:rsid w:val="008004C3"/>
    <w:rsid w:val="00807194"/>
    <w:rsid w:val="0081716E"/>
    <w:rsid w:val="00820061"/>
    <w:rsid w:val="008264C9"/>
    <w:rsid w:val="00830E13"/>
    <w:rsid w:val="00832B6F"/>
    <w:rsid w:val="00833568"/>
    <w:rsid w:val="00845CD4"/>
    <w:rsid w:val="008525EF"/>
    <w:rsid w:val="00862CC7"/>
    <w:rsid w:val="00881A6B"/>
    <w:rsid w:val="00884C69"/>
    <w:rsid w:val="008861D3"/>
    <w:rsid w:val="00886657"/>
    <w:rsid w:val="0089084C"/>
    <w:rsid w:val="00892319"/>
    <w:rsid w:val="008C0D3E"/>
    <w:rsid w:val="008D7D47"/>
    <w:rsid w:val="009015F6"/>
    <w:rsid w:val="009039B7"/>
    <w:rsid w:val="00903E9F"/>
    <w:rsid w:val="0090784D"/>
    <w:rsid w:val="00924819"/>
    <w:rsid w:val="00945713"/>
    <w:rsid w:val="009526CA"/>
    <w:rsid w:val="00960580"/>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D3C99"/>
    <w:rsid w:val="009D3E95"/>
    <w:rsid w:val="009D5E89"/>
    <w:rsid w:val="009D6ABD"/>
    <w:rsid w:val="009E4A90"/>
    <w:rsid w:val="009E5150"/>
    <w:rsid w:val="009E7600"/>
    <w:rsid w:val="00A03FC0"/>
    <w:rsid w:val="00A079C5"/>
    <w:rsid w:val="00A143DC"/>
    <w:rsid w:val="00A2162F"/>
    <w:rsid w:val="00A2642C"/>
    <w:rsid w:val="00A2753A"/>
    <w:rsid w:val="00A40E30"/>
    <w:rsid w:val="00A41D8D"/>
    <w:rsid w:val="00A42D49"/>
    <w:rsid w:val="00A46A34"/>
    <w:rsid w:val="00A52DFF"/>
    <w:rsid w:val="00A56397"/>
    <w:rsid w:val="00A56C32"/>
    <w:rsid w:val="00A72E43"/>
    <w:rsid w:val="00A7413A"/>
    <w:rsid w:val="00A8546D"/>
    <w:rsid w:val="00A931AF"/>
    <w:rsid w:val="00A93908"/>
    <w:rsid w:val="00A94ECC"/>
    <w:rsid w:val="00AB5284"/>
    <w:rsid w:val="00AC1D83"/>
    <w:rsid w:val="00AD6AC7"/>
    <w:rsid w:val="00AE02E2"/>
    <w:rsid w:val="00AE0E28"/>
    <w:rsid w:val="00AE52D5"/>
    <w:rsid w:val="00AE5EB9"/>
    <w:rsid w:val="00AF0DBC"/>
    <w:rsid w:val="00AF1012"/>
    <w:rsid w:val="00AF327F"/>
    <w:rsid w:val="00AF6820"/>
    <w:rsid w:val="00B00C23"/>
    <w:rsid w:val="00B10D61"/>
    <w:rsid w:val="00B16E5E"/>
    <w:rsid w:val="00B401E1"/>
    <w:rsid w:val="00B419AA"/>
    <w:rsid w:val="00B42D33"/>
    <w:rsid w:val="00B51497"/>
    <w:rsid w:val="00B52142"/>
    <w:rsid w:val="00B57AC9"/>
    <w:rsid w:val="00B62AB3"/>
    <w:rsid w:val="00B63B06"/>
    <w:rsid w:val="00B645D0"/>
    <w:rsid w:val="00B7170C"/>
    <w:rsid w:val="00B74BAF"/>
    <w:rsid w:val="00B77C64"/>
    <w:rsid w:val="00B96BB4"/>
    <w:rsid w:val="00BA2235"/>
    <w:rsid w:val="00BC085A"/>
    <w:rsid w:val="00BC4779"/>
    <w:rsid w:val="00BD577F"/>
    <w:rsid w:val="00BE0924"/>
    <w:rsid w:val="00BE505E"/>
    <w:rsid w:val="00BF0BF7"/>
    <w:rsid w:val="00BF295A"/>
    <w:rsid w:val="00C11435"/>
    <w:rsid w:val="00C120A7"/>
    <w:rsid w:val="00C277BF"/>
    <w:rsid w:val="00C352DF"/>
    <w:rsid w:val="00C4220D"/>
    <w:rsid w:val="00C562E3"/>
    <w:rsid w:val="00C715FC"/>
    <w:rsid w:val="00CB3A41"/>
    <w:rsid w:val="00CB3BAB"/>
    <w:rsid w:val="00CB74CF"/>
    <w:rsid w:val="00CC2027"/>
    <w:rsid w:val="00CE1D41"/>
    <w:rsid w:val="00CF12C3"/>
    <w:rsid w:val="00CF3A85"/>
    <w:rsid w:val="00D1288D"/>
    <w:rsid w:val="00D30C8D"/>
    <w:rsid w:val="00D33622"/>
    <w:rsid w:val="00D3502A"/>
    <w:rsid w:val="00D36C44"/>
    <w:rsid w:val="00D37784"/>
    <w:rsid w:val="00D423D1"/>
    <w:rsid w:val="00D50C97"/>
    <w:rsid w:val="00D52E65"/>
    <w:rsid w:val="00D535CC"/>
    <w:rsid w:val="00D71B64"/>
    <w:rsid w:val="00D93FAE"/>
    <w:rsid w:val="00D94025"/>
    <w:rsid w:val="00DA4EF4"/>
    <w:rsid w:val="00DA7F1A"/>
    <w:rsid w:val="00DB71E1"/>
    <w:rsid w:val="00DC0774"/>
    <w:rsid w:val="00DC1904"/>
    <w:rsid w:val="00DD5FBA"/>
    <w:rsid w:val="00DE4F78"/>
    <w:rsid w:val="00E003C1"/>
    <w:rsid w:val="00E05642"/>
    <w:rsid w:val="00E10944"/>
    <w:rsid w:val="00E1278E"/>
    <w:rsid w:val="00E1705E"/>
    <w:rsid w:val="00E36140"/>
    <w:rsid w:val="00E45923"/>
    <w:rsid w:val="00E46D67"/>
    <w:rsid w:val="00E51B08"/>
    <w:rsid w:val="00E56BFE"/>
    <w:rsid w:val="00E70691"/>
    <w:rsid w:val="00E76DB1"/>
    <w:rsid w:val="00E901F3"/>
    <w:rsid w:val="00E909AC"/>
    <w:rsid w:val="00E93573"/>
    <w:rsid w:val="00E93656"/>
    <w:rsid w:val="00E95EAE"/>
    <w:rsid w:val="00EB1466"/>
    <w:rsid w:val="00EB2178"/>
    <w:rsid w:val="00EB6AF0"/>
    <w:rsid w:val="00ED2408"/>
    <w:rsid w:val="00EE1EB9"/>
    <w:rsid w:val="00F07519"/>
    <w:rsid w:val="00F136DF"/>
    <w:rsid w:val="00F25945"/>
    <w:rsid w:val="00F2781F"/>
    <w:rsid w:val="00F349F5"/>
    <w:rsid w:val="00F3730A"/>
    <w:rsid w:val="00F41DC4"/>
    <w:rsid w:val="00F61C43"/>
    <w:rsid w:val="00F64712"/>
    <w:rsid w:val="00F72692"/>
    <w:rsid w:val="00F7284E"/>
    <w:rsid w:val="00F74AFA"/>
    <w:rsid w:val="00F763EF"/>
    <w:rsid w:val="00F76932"/>
    <w:rsid w:val="00FA4955"/>
    <w:rsid w:val="00FA6F54"/>
    <w:rsid w:val="00FB267D"/>
    <w:rsid w:val="00FC3CDB"/>
    <w:rsid w:val="00FD4007"/>
    <w:rsid w:val="00FD721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customXml/itemProps2.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DD4B6AEB-CCB7-4371-B805-54D7B7C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E2059-9ECD-42C4-A81F-B994713F8A23}">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10534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Horáčková Alena</cp:lastModifiedBy>
  <cp:revision>3</cp:revision>
  <cp:lastPrinted>2016-08-10T08:23:00Z</cp:lastPrinted>
  <dcterms:created xsi:type="dcterms:W3CDTF">2025-05-05T13:04:00Z</dcterms:created>
  <dcterms:modified xsi:type="dcterms:W3CDTF">2025-05-05T13:06:00Z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