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5C99FCD7" w:rsidR="005A34F0" w:rsidRPr="00515D12" w:rsidRDefault="005A34F0" w:rsidP="00973682">
      <w:pPr>
        <w:jc w:val="center"/>
        <w:rPr>
          <w:rFonts w:asciiTheme="minorHAnsi" w:hAnsiTheme="minorHAnsi"/>
          <w:b/>
          <w:sz w:val="28"/>
          <w:szCs w:val="28"/>
        </w:rPr>
      </w:pPr>
      <w:r w:rsidRPr="00515D12">
        <w:rPr>
          <w:rFonts w:asciiTheme="minorHAnsi" w:hAnsiTheme="minorHAnsi"/>
          <w:b/>
          <w:sz w:val="28"/>
          <w:szCs w:val="28"/>
        </w:rPr>
        <w:t>Smlouva</w:t>
      </w:r>
    </w:p>
    <w:p w14:paraId="79C8F2CC" w14:textId="1D215642"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973682">
        <w:rPr>
          <w:rFonts w:asciiTheme="minorHAnsi" w:hAnsiTheme="minorHAnsi"/>
          <w:b/>
          <w:sz w:val="28"/>
          <w:szCs w:val="28"/>
        </w:rPr>
        <w:t>001</w:t>
      </w:r>
      <w:r w:rsidR="00BD661A">
        <w:rPr>
          <w:rFonts w:asciiTheme="minorHAnsi" w:hAnsiTheme="minorHAnsi"/>
          <w:b/>
          <w:sz w:val="28"/>
          <w:szCs w:val="28"/>
        </w:rPr>
        <w:t>55</w:t>
      </w:r>
      <w:r w:rsidR="009C07EC">
        <w:rPr>
          <w:rFonts w:asciiTheme="minorHAnsi" w:hAnsiTheme="minorHAnsi"/>
          <w:b/>
          <w:sz w:val="28"/>
          <w:szCs w:val="28"/>
        </w:rPr>
        <w:t>/</w:t>
      </w:r>
      <w:r w:rsidR="008C667C">
        <w:rPr>
          <w:rFonts w:asciiTheme="minorHAnsi" w:hAnsiTheme="minorHAnsi"/>
          <w:b/>
          <w:sz w:val="28"/>
          <w:szCs w:val="28"/>
        </w:rPr>
        <w:t>2</w:t>
      </w:r>
      <w:r w:rsidR="00455923">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62D695B" w14:textId="0DB4E942" w:rsidR="00BD661A" w:rsidRDefault="00BD661A" w:rsidP="00455923">
      <w:pPr>
        <w:widowControl w:val="0"/>
        <w:tabs>
          <w:tab w:val="left" w:pos="426"/>
        </w:tabs>
        <w:ind w:left="426"/>
        <w:jc w:val="both"/>
        <w:rPr>
          <w:rFonts w:asciiTheme="minorHAnsi" w:hAnsiTheme="minorHAnsi"/>
          <w:sz w:val="22"/>
          <w:szCs w:val="22"/>
        </w:rPr>
      </w:pPr>
      <w:r w:rsidRPr="00BD661A">
        <w:rPr>
          <w:rFonts w:asciiTheme="minorHAnsi" w:hAnsiTheme="minorHAnsi"/>
          <w:sz w:val="22"/>
          <w:szCs w:val="22"/>
        </w:rPr>
        <w:t>DFS Perníček, z.s.</w:t>
      </w:r>
      <w:r>
        <w:rPr>
          <w:rFonts w:asciiTheme="minorHAnsi" w:hAnsiTheme="minorHAnsi"/>
          <w:sz w:val="22"/>
          <w:szCs w:val="22"/>
        </w:rPr>
        <w:t xml:space="preserve">, </w:t>
      </w:r>
    </w:p>
    <w:p w14:paraId="110C0952" w14:textId="57E5A8CB" w:rsidR="00557491" w:rsidRPr="0067567C" w:rsidRDefault="00557491" w:rsidP="00DC0AA9">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BD661A" w:rsidRPr="00BD661A">
        <w:rPr>
          <w:rFonts w:asciiTheme="minorHAnsi" w:hAnsiTheme="minorHAnsi"/>
          <w:sz w:val="22"/>
          <w:szCs w:val="22"/>
        </w:rPr>
        <w:t>Pardubice, Havlíčkova 925 /ZUŠ/</w:t>
      </w:r>
      <w:r w:rsidR="00BD661A">
        <w:rPr>
          <w:rFonts w:asciiTheme="minorHAnsi" w:hAnsiTheme="minorHAnsi"/>
          <w:sz w:val="22"/>
          <w:szCs w:val="22"/>
        </w:rPr>
        <w:t xml:space="preserve">, </w:t>
      </w:r>
    </w:p>
    <w:p w14:paraId="15CE4304" w14:textId="46B61311"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BD661A" w:rsidRPr="00BD661A">
        <w:rPr>
          <w:rFonts w:asciiTheme="minorHAnsi" w:hAnsiTheme="minorHAnsi"/>
          <w:sz w:val="22"/>
          <w:szCs w:val="22"/>
        </w:rPr>
        <w:t>22839828</w:t>
      </w:r>
      <w:r w:rsidR="00BD661A">
        <w:rPr>
          <w:rFonts w:asciiTheme="minorHAnsi" w:hAnsiTheme="minorHAnsi"/>
          <w:sz w:val="22"/>
          <w:szCs w:val="22"/>
        </w:rPr>
        <w:t xml:space="preserve">, </w:t>
      </w:r>
    </w:p>
    <w:p w14:paraId="24EDBB15" w14:textId="0E1DC055"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BD661A">
        <w:rPr>
          <w:rFonts w:asciiTheme="minorHAnsi" w:hAnsiTheme="minorHAnsi"/>
          <w:sz w:val="22"/>
          <w:szCs w:val="22"/>
        </w:rPr>
        <w:t xml:space="preserve">232545376/0300, </w:t>
      </w:r>
    </w:p>
    <w:p w14:paraId="4F2EEB2C" w14:textId="5D971AD7"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BD661A">
        <w:rPr>
          <w:rFonts w:asciiTheme="minorHAnsi" w:hAnsiTheme="minorHAnsi"/>
          <w:sz w:val="22"/>
          <w:szCs w:val="22"/>
        </w:rPr>
        <w:t>MgA. Lenkou Šťastnou, předsedkyní výboru spolku</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E5C66F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55923">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55923">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455923">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06334B">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66D7A291"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EE61BE">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5C02F6">
        <w:rPr>
          <w:rFonts w:asciiTheme="minorHAnsi" w:hAnsiTheme="minorHAnsi"/>
          <w:b/>
          <w:sz w:val="22"/>
          <w:szCs w:val="22"/>
        </w:rPr>
        <w:t>1</w:t>
      </w:r>
      <w:r w:rsidR="00BD661A">
        <w:rPr>
          <w:rFonts w:asciiTheme="minorHAnsi" w:hAnsiTheme="minorHAnsi"/>
          <w:b/>
          <w:sz w:val="22"/>
          <w:szCs w:val="22"/>
        </w:rPr>
        <w:t>59</w:t>
      </w:r>
      <w:r w:rsidR="005C02F6">
        <w:rPr>
          <w:rFonts w:asciiTheme="minorHAnsi" w:hAnsiTheme="minorHAnsi"/>
          <w:b/>
          <w:sz w:val="22"/>
          <w:szCs w:val="22"/>
        </w:rPr>
        <w:t>.000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5C02F6">
        <w:rPr>
          <w:rFonts w:asciiTheme="minorHAnsi" w:hAnsiTheme="minorHAnsi"/>
          <w:sz w:val="22"/>
          <w:szCs w:val="22"/>
        </w:rPr>
        <w:t>jedno sto</w:t>
      </w:r>
      <w:r w:rsidR="00BD661A">
        <w:rPr>
          <w:rFonts w:asciiTheme="minorHAnsi" w:hAnsiTheme="minorHAnsi"/>
          <w:sz w:val="22"/>
          <w:szCs w:val="22"/>
        </w:rPr>
        <w:t xml:space="preserve"> padesát devět </w:t>
      </w:r>
      <w:r w:rsidR="007F6EDA">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BD661A" w:rsidRPr="00BD661A">
        <w:rPr>
          <w:rFonts w:asciiTheme="minorHAnsi" w:hAnsiTheme="minorHAnsi"/>
          <w:b/>
          <w:bCs/>
          <w:sz w:val="22"/>
          <w:szCs w:val="22"/>
        </w:rPr>
        <w:t>Podpora celoroční činnosti</w:t>
      </w:r>
      <w:r w:rsidR="00F24A36">
        <w:rPr>
          <w:rFonts w:asciiTheme="minorHAnsi" w:hAnsiTheme="minorHAnsi"/>
          <w:b/>
          <w:sz w:val="22"/>
          <w:szCs w:val="22"/>
        </w:rPr>
        <w:t>“</w:t>
      </w:r>
      <w:r w:rsidR="001774C3">
        <w:rPr>
          <w:rFonts w:asciiTheme="minorHAnsi" w:hAnsiTheme="minorHAnsi" w:cstheme="minorHAnsi"/>
          <w:sz w:val="22"/>
          <w:szCs w:val="22"/>
        </w:rPr>
        <w:t xml:space="preserve">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8F07998"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7F6EDA">
        <w:rPr>
          <w:rFonts w:asciiTheme="minorHAnsi" w:hAnsiTheme="minorHAnsi"/>
          <w:b/>
          <w:sz w:val="22"/>
          <w:szCs w:val="22"/>
        </w:rPr>
        <w:t>1</w:t>
      </w:r>
      <w:r w:rsidRPr="00CE6B8B">
        <w:rPr>
          <w:rFonts w:asciiTheme="minorHAnsi" w:hAnsiTheme="minorHAnsi"/>
          <w:b/>
          <w:sz w:val="22"/>
          <w:szCs w:val="22"/>
        </w:rPr>
        <w:t xml:space="preserve">. </w:t>
      </w:r>
      <w:r w:rsidR="007F6EDA">
        <w:rPr>
          <w:rFonts w:asciiTheme="minorHAnsi" w:hAnsiTheme="minorHAnsi"/>
          <w:b/>
          <w:sz w:val="22"/>
          <w:szCs w:val="22"/>
        </w:rPr>
        <w:t>12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EE61BE">
        <w:rPr>
          <w:rFonts w:asciiTheme="minorHAnsi" w:hAnsiTheme="minorHAnsi"/>
          <w:b/>
          <w:sz w:val="22"/>
          <w:szCs w:val="22"/>
        </w:rPr>
        <w:t>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0BC8739B"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BD661A">
        <w:rPr>
          <w:rFonts w:asciiTheme="minorHAnsi" w:hAnsiTheme="minorHAnsi"/>
          <w:sz w:val="22"/>
          <w:szCs w:val="22"/>
        </w:rPr>
        <w:t>26</w:t>
      </w:r>
      <w:r w:rsidR="003F5C72">
        <w:rPr>
          <w:rFonts w:asciiTheme="minorHAnsi" w:hAnsiTheme="minorHAnsi"/>
          <w:sz w:val="22"/>
          <w:szCs w:val="22"/>
        </w:rPr>
        <w:t>.1.</w:t>
      </w:r>
      <w:r w:rsidR="003219A8" w:rsidRPr="003B7680">
        <w:rPr>
          <w:rFonts w:asciiTheme="minorHAnsi" w:hAnsiTheme="minorHAnsi"/>
          <w:sz w:val="22"/>
          <w:szCs w:val="22"/>
        </w:rPr>
        <w:t>20</w:t>
      </w:r>
      <w:r w:rsidR="003B7680">
        <w:rPr>
          <w:rFonts w:asciiTheme="minorHAnsi" w:hAnsiTheme="minorHAnsi"/>
          <w:sz w:val="22"/>
          <w:szCs w:val="22"/>
        </w:rPr>
        <w:t>2</w:t>
      </w:r>
      <w:r w:rsidR="007F6EDA">
        <w:rPr>
          <w:rFonts w:asciiTheme="minorHAnsi" w:hAnsiTheme="minorHAnsi"/>
          <w:sz w:val="22"/>
          <w:szCs w:val="22"/>
        </w:rPr>
        <w:t>5</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BD661A">
        <w:rPr>
          <w:rFonts w:asciiTheme="minorHAnsi" w:hAnsiTheme="minorHAnsi"/>
          <w:sz w:val="22"/>
          <w:szCs w:val="22"/>
        </w:rPr>
        <w:t>11586</w:t>
      </w:r>
      <w:r w:rsidR="00557491" w:rsidRPr="00557491">
        <w:rPr>
          <w:rFonts w:asciiTheme="minorHAnsi" w:hAnsiTheme="minorHAnsi"/>
          <w:sz w:val="22"/>
          <w:szCs w:val="22"/>
        </w:rPr>
        <w:t>/202</w:t>
      </w:r>
      <w:r w:rsidR="007F6EDA">
        <w:rPr>
          <w:rFonts w:asciiTheme="minorHAnsi" w:hAnsiTheme="minorHAnsi"/>
          <w:sz w:val="22"/>
          <w:szCs w:val="22"/>
        </w:rPr>
        <w:t>5</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653678E"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7F6EDA">
        <w:rPr>
          <w:rFonts w:ascii="Calibri" w:hAnsi="Calibri"/>
          <w:b/>
          <w:bCs/>
          <w:sz w:val="22"/>
          <w:szCs w:val="22"/>
        </w:rPr>
        <w:t>1</w:t>
      </w:r>
      <w:r w:rsidRPr="00934657">
        <w:rPr>
          <w:rFonts w:ascii="Calibri" w:hAnsi="Calibri"/>
          <w:b/>
          <w:bCs/>
          <w:sz w:val="22"/>
          <w:szCs w:val="22"/>
        </w:rPr>
        <w:t xml:space="preserve">. </w:t>
      </w:r>
      <w:r w:rsidR="007F6EDA">
        <w:rPr>
          <w:rFonts w:ascii="Calibri" w:hAnsi="Calibri"/>
          <w:b/>
          <w:bCs/>
          <w:sz w:val="22"/>
          <w:szCs w:val="22"/>
        </w:rPr>
        <w:t>01</w:t>
      </w:r>
      <w:r w:rsidRPr="00934657">
        <w:rPr>
          <w:rFonts w:ascii="Calibri" w:hAnsi="Calibri"/>
          <w:b/>
          <w:bCs/>
          <w:sz w:val="22"/>
          <w:szCs w:val="22"/>
        </w:rPr>
        <w:t>. 202</w:t>
      </w:r>
      <w:r w:rsidR="007F6EDA">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40321FF4"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8A0FEA">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4A9EDF6F"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7F6EDA">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7F6EDA">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056FE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7F6EDA">
        <w:rPr>
          <w:rFonts w:asciiTheme="minorHAnsi" w:hAnsiTheme="minorHAnsi"/>
          <w:b/>
          <w:sz w:val="22"/>
          <w:szCs w:val="22"/>
        </w:rPr>
        <w:t>1</w:t>
      </w:r>
      <w:r w:rsidRPr="00B33A4A">
        <w:rPr>
          <w:rFonts w:asciiTheme="minorHAnsi" w:hAnsiTheme="minorHAnsi"/>
          <w:b/>
          <w:sz w:val="22"/>
          <w:szCs w:val="22"/>
        </w:rPr>
        <w:t xml:space="preserve">. </w:t>
      </w:r>
      <w:r w:rsidR="007F6EDA">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7F6EDA">
        <w:rPr>
          <w:rFonts w:asciiTheme="minorHAnsi" w:hAnsiTheme="minorHAnsi"/>
          <w:b/>
          <w:sz w:val="22"/>
          <w:szCs w:val="22"/>
        </w:rPr>
        <w:t>6</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308C0A68"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9B3F3E">
        <w:rPr>
          <w:rFonts w:asciiTheme="minorHAnsi" w:hAnsiTheme="minorHAnsi" w:cs="Tahoma"/>
          <w:sz w:val="22"/>
          <w:szCs w:val="22"/>
        </w:rPr>
        <w:t>m</w:t>
      </w:r>
      <w:r>
        <w:rPr>
          <w:rFonts w:asciiTheme="minorHAnsi" w:hAnsiTheme="minorHAnsi" w:cs="Tahoma"/>
          <w:sz w:val="22"/>
          <w:szCs w:val="22"/>
        </w:rPr>
        <w:t xml:space="preserve"> </w:t>
      </w:r>
      <w:r w:rsidR="009B3F3E">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0777F3A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9B3F3E">
        <w:rPr>
          <w:rFonts w:asciiTheme="minorHAnsi" w:hAnsiTheme="minorHAnsi" w:cs="Tahoma"/>
          <w:sz w:val="22"/>
          <w:szCs w:val="22"/>
        </w:rPr>
        <w:t>m 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531BF788"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Pr>
          <w:rFonts w:asciiTheme="minorHAnsi" w:hAnsiTheme="minorHAnsi" w:cstheme="minorHAnsi"/>
          <w:color w:val="000000"/>
          <w:sz w:val="22"/>
          <w:szCs w:val="22"/>
        </w:rPr>
        <w:t xml:space="preserve"> Termíny s</w:t>
      </w:r>
      <w:r w:rsidR="009725B4">
        <w:rPr>
          <w:rFonts w:asciiTheme="minorHAnsi" w:hAnsiTheme="minorHAnsi"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8E4C3F"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84C9362" w14:textId="77777777" w:rsidR="008E4C3F" w:rsidRDefault="008E4C3F" w:rsidP="008E4C3F">
      <w:pPr>
        <w:pStyle w:val="Odstavecseseznamem"/>
        <w:rPr>
          <w:rFonts w:asciiTheme="minorHAnsi" w:eastAsia="Calibri" w:hAnsiTheme="minorHAnsi" w:cstheme="minorHAnsi"/>
          <w:sz w:val="22"/>
          <w:szCs w:val="22"/>
          <w:lang w:eastAsia="en-US"/>
        </w:rPr>
      </w:pPr>
    </w:p>
    <w:p w14:paraId="5AA99F2E" w14:textId="77777777" w:rsidR="008E4C3F"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7434CF8E" w14:textId="77777777" w:rsidR="008E4C3F"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3894E794" w14:textId="77777777" w:rsidR="008E4C3F" w:rsidRPr="00492B39" w:rsidRDefault="008E4C3F" w:rsidP="008E4C3F">
      <w:pPr>
        <w:autoSpaceDE w:val="0"/>
        <w:autoSpaceDN w:val="0"/>
        <w:adjustRightInd w:val="0"/>
        <w:ind w:left="567"/>
        <w:jc w:val="both"/>
        <w:rPr>
          <w:rFonts w:asciiTheme="minorHAnsi" w:eastAsia="Calibri" w:hAnsiTheme="minorHAnsi" w:cstheme="minorHAnsi"/>
          <w:sz w:val="22"/>
          <w:szCs w:val="22"/>
          <w:lang w:eastAsia="en-US"/>
        </w:rPr>
      </w:pP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5BE1250C" w14:textId="77777777" w:rsidR="009316E7" w:rsidRPr="00492B39" w:rsidRDefault="009316E7" w:rsidP="008E4C3F">
      <w:pPr>
        <w:autoSpaceDE w:val="0"/>
        <w:autoSpaceDN w:val="0"/>
        <w:adjustRightInd w:val="0"/>
        <w:jc w:val="both"/>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42715F4E"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8304F7">
        <w:rPr>
          <w:rFonts w:asciiTheme="minorHAnsi" w:hAnsiTheme="minorHAnsi"/>
          <w:sz w:val="22"/>
          <w:szCs w:val="22"/>
        </w:rPr>
        <w:t>29.4.2025</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1715A3BC"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3F21BA">
        <w:rPr>
          <w:rFonts w:asciiTheme="minorHAnsi" w:hAnsiTheme="minorHAnsi"/>
          <w:sz w:val="22"/>
          <w:szCs w:val="22"/>
        </w:rPr>
        <w:tab/>
      </w:r>
      <w:r w:rsidR="00557491">
        <w:rPr>
          <w:rFonts w:asciiTheme="minorHAnsi" w:hAnsiTheme="minorHAnsi"/>
          <w:sz w:val="22"/>
          <w:szCs w:val="22"/>
        </w:rPr>
        <w:t xml:space="preserve">   </w:t>
      </w:r>
      <w:r w:rsidR="001045BC">
        <w:rPr>
          <w:rFonts w:asciiTheme="minorHAnsi" w:hAnsiTheme="minorHAnsi"/>
          <w:sz w:val="22"/>
          <w:szCs w:val="22"/>
        </w:rPr>
        <w:t>Mg</w:t>
      </w:r>
      <w:r w:rsidR="003F5C72">
        <w:rPr>
          <w:rFonts w:asciiTheme="minorHAnsi" w:hAnsiTheme="minorHAnsi"/>
          <w:sz w:val="22"/>
          <w:szCs w:val="22"/>
        </w:rPr>
        <w:t>A.</w:t>
      </w:r>
      <w:r w:rsidR="001045BC">
        <w:rPr>
          <w:rFonts w:asciiTheme="minorHAnsi" w:hAnsiTheme="minorHAnsi"/>
          <w:sz w:val="22"/>
          <w:szCs w:val="22"/>
        </w:rPr>
        <w:t xml:space="preserve"> </w:t>
      </w:r>
      <w:r w:rsidR="00BD661A">
        <w:rPr>
          <w:rFonts w:asciiTheme="minorHAnsi" w:hAnsiTheme="minorHAnsi"/>
          <w:sz w:val="22"/>
          <w:szCs w:val="22"/>
        </w:rPr>
        <w:t xml:space="preserve">Lenka Šťastná </w:t>
      </w:r>
      <w:r w:rsidR="00F24A36">
        <w:rPr>
          <w:rFonts w:asciiTheme="minorHAnsi" w:hAnsiTheme="minorHAnsi"/>
          <w:sz w:val="22"/>
          <w:szCs w:val="22"/>
        </w:rPr>
        <w:t xml:space="preserve"> </w:t>
      </w:r>
      <w:r w:rsidR="001045BC">
        <w:rPr>
          <w:rFonts w:asciiTheme="minorHAnsi" w:hAnsiTheme="minorHAnsi"/>
          <w:sz w:val="22"/>
          <w:szCs w:val="22"/>
        </w:rPr>
        <w:t xml:space="preserve"> </w:t>
      </w:r>
      <w:r w:rsidR="00EE61BE">
        <w:rPr>
          <w:rFonts w:asciiTheme="minorHAnsi" w:hAnsiTheme="minorHAnsi"/>
          <w:sz w:val="22"/>
          <w:szCs w:val="22"/>
        </w:rPr>
        <w:t xml:space="preserve"> </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4A482AC1"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283890">
        <w:rPr>
          <w:rFonts w:asciiTheme="minorHAnsi" w:hAnsiTheme="minorHAnsi"/>
          <w:sz w:val="20"/>
          <w:szCs w:val="20"/>
        </w:rPr>
        <w:t xml:space="preserve">Zastupitelstva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8E4C3F">
        <w:rPr>
          <w:rFonts w:asciiTheme="minorHAnsi" w:hAnsiTheme="minorHAnsi"/>
          <w:sz w:val="20"/>
          <w:szCs w:val="20"/>
        </w:rPr>
        <w:t>Z</w:t>
      </w:r>
      <w:r w:rsidRPr="002E32CD">
        <w:rPr>
          <w:rFonts w:asciiTheme="minorHAnsi" w:hAnsiTheme="minorHAnsi"/>
          <w:sz w:val="20"/>
          <w:szCs w:val="20"/>
        </w:rPr>
        <w:t>/</w:t>
      </w:r>
      <w:r w:rsidR="00973682">
        <w:rPr>
          <w:rFonts w:asciiTheme="minorHAnsi" w:hAnsiTheme="minorHAnsi"/>
          <w:sz w:val="20"/>
          <w:szCs w:val="20"/>
        </w:rPr>
        <w:t>1811</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EE61BE">
        <w:rPr>
          <w:rFonts w:asciiTheme="minorHAnsi" w:hAnsiTheme="minorHAnsi"/>
          <w:sz w:val="20"/>
          <w:szCs w:val="20"/>
        </w:rPr>
        <w:t>5</w:t>
      </w:r>
      <w:r w:rsidRPr="002E32CD">
        <w:rPr>
          <w:rFonts w:asciiTheme="minorHAnsi" w:hAnsiTheme="minorHAnsi"/>
          <w:sz w:val="20"/>
          <w:szCs w:val="20"/>
        </w:rPr>
        <w:t xml:space="preserve"> ze dne </w:t>
      </w:r>
      <w:r w:rsidR="001045BC">
        <w:rPr>
          <w:rFonts w:asciiTheme="minorHAnsi" w:hAnsiTheme="minorHAnsi"/>
          <w:sz w:val="20"/>
          <w:szCs w:val="20"/>
        </w:rPr>
        <w:t>31</w:t>
      </w:r>
      <w:r w:rsidR="00160059">
        <w:rPr>
          <w:rFonts w:asciiTheme="minorHAnsi" w:hAnsiTheme="minorHAnsi"/>
          <w:sz w:val="20"/>
          <w:szCs w:val="20"/>
        </w:rPr>
        <w:t>.</w:t>
      </w:r>
      <w:r w:rsidR="001045BC">
        <w:rPr>
          <w:rFonts w:asciiTheme="minorHAnsi" w:hAnsiTheme="minorHAnsi"/>
          <w:sz w:val="20"/>
          <w:szCs w:val="20"/>
        </w:rPr>
        <w:t>3</w:t>
      </w:r>
      <w:r w:rsidR="00160059">
        <w:rPr>
          <w:rFonts w:asciiTheme="minorHAnsi" w:hAnsiTheme="minorHAnsi"/>
          <w:sz w:val="20"/>
          <w:szCs w:val="20"/>
        </w:rPr>
        <w:t>.202</w:t>
      </w:r>
      <w:r w:rsidR="00EE61BE">
        <w:rPr>
          <w:rFonts w:asciiTheme="minorHAnsi" w:hAnsiTheme="minorHAnsi"/>
          <w:sz w:val="20"/>
          <w:szCs w:val="20"/>
        </w:rPr>
        <w:t>5</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2A0CA2A8"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7C8F59C3" w:rsidR="001B21D5" w:rsidRDefault="00BD661A" w:rsidP="00584AD3">
      <w:pPr>
        <w:jc w:val="center"/>
      </w:pPr>
      <w:r w:rsidRPr="00BD661A">
        <w:rPr>
          <w:noProof/>
        </w:rPr>
        <w:drawing>
          <wp:inline distT="0" distB="0" distL="0" distR="0" wp14:anchorId="7CF5D803" wp14:editId="3A1131ED">
            <wp:extent cx="5406828" cy="8010525"/>
            <wp:effectExtent l="0" t="0" r="3810" b="0"/>
            <wp:docPr id="14921685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8265" cy="8012654"/>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29C925A7" w14:textId="77777777" w:rsidR="00410CCA" w:rsidRDefault="00410CCA" w:rsidP="003F21BA">
      <w:pPr>
        <w:rPr>
          <w:rFonts w:asciiTheme="minorHAnsi" w:hAnsiTheme="minorHAnsi"/>
          <w:b/>
          <w:sz w:val="22"/>
          <w:szCs w:val="22"/>
        </w:rPr>
      </w:pPr>
    </w:p>
    <w:p w14:paraId="029E9AF5" w14:textId="77777777" w:rsidR="00BD661A" w:rsidRDefault="00BD661A" w:rsidP="003F21BA">
      <w:pPr>
        <w:rPr>
          <w:rFonts w:asciiTheme="minorHAnsi" w:hAnsiTheme="minorHAnsi"/>
          <w:b/>
          <w:sz w:val="22"/>
          <w:szCs w:val="22"/>
        </w:rPr>
      </w:pPr>
    </w:p>
    <w:p w14:paraId="2080891E" w14:textId="77777777" w:rsidR="00BD661A" w:rsidRDefault="00BD661A" w:rsidP="003F21BA">
      <w:pPr>
        <w:rPr>
          <w:rFonts w:asciiTheme="minorHAnsi" w:hAnsiTheme="minorHAnsi"/>
          <w:b/>
          <w:sz w:val="22"/>
          <w:szCs w:val="22"/>
        </w:rPr>
      </w:pPr>
    </w:p>
    <w:p w14:paraId="2129F4C7" w14:textId="77777777" w:rsidR="00BD661A" w:rsidRDefault="00BD661A" w:rsidP="003F21BA">
      <w:pPr>
        <w:rPr>
          <w:rFonts w:asciiTheme="minorHAnsi" w:hAnsiTheme="minorHAnsi"/>
          <w:b/>
          <w:sz w:val="22"/>
          <w:szCs w:val="22"/>
        </w:rPr>
      </w:pPr>
    </w:p>
    <w:p w14:paraId="5CC4CA51" w14:textId="77777777" w:rsidR="00BD661A" w:rsidRDefault="00BD661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00AC"/>
    <w:rsid w:val="000C10C0"/>
    <w:rsid w:val="000E0BAB"/>
    <w:rsid w:val="000F177D"/>
    <w:rsid w:val="000F426E"/>
    <w:rsid w:val="00103E4D"/>
    <w:rsid w:val="001045BC"/>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3890"/>
    <w:rsid w:val="00284693"/>
    <w:rsid w:val="00286AD5"/>
    <w:rsid w:val="00292AF3"/>
    <w:rsid w:val="00292C3C"/>
    <w:rsid w:val="00292C5A"/>
    <w:rsid w:val="002D36FB"/>
    <w:rsid w:val="002E32CD"/>
    <w:rsid w:val="00302B2E"/>
    <w:rsid w:val="003034A0"/>
    <w:rsid w:val="003057E9"/>
    <w:rsid w:val="003124C5"/>
    <w:rsid w:val="00313760"/>
    <w:rsid w:val="003138CC"/>
    <w:rsid w:val="00314AD2"/>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5C72"/>
    <w:rsid w:val="003F7F6F"/>
    <w:rsid w:val="00410CCA"/>
    <w:rsid w:val="004156DA"/>
    <w:rsid w:val="00421752"/>
    <w:rsid w:val="00427B0D"/>
    <w:rsid w:val="004437B9"/>
    <w:rsid w:val="004438E2"/>
    <w:rsid w:val="00446210"/>
    <w:rsid w:val="004472DF"/>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64F5A"/>
    <w:rsid w:val="00570CE9"/>
    <w:rsid w:val="00570DD4"/>
    <w:rsid w:val="00571AEE"/>
    <w:rsid w:val="00583806"/>
    <w:rsid w:val="00584AD3"/>
    <w:rsid w:val="0059304C"/>
    <w:rsid w:val="00593478"/>
    <w:rsid w:val="005A0C09"/>
    <w:rsid w:val="005A34F0"/>
    <w:rsid w:val="005A5E47"/>
    <w:rsid w:val="005B78ED"/>
    <w:rsid w:val="005C02F6"/>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72B8"/>
    <w:rsid w:val="00634D66"/>
    <w:rsid w:val="006418EC"/>
    <w:rsid w:val="0065099F"/>
    <w:rsid w:val="00650D28"/>
    <w:rsid w:val="00651B09"/>
    <w:rsid w:val="0065640D"/>
    <w:rsid w:val="006577DD"/>
    <w:rsid w:val="006619F8"/>
    <w:rsid w:val="00663C1D"/>
    <w:rsid w:val="00665A3C"/>
    <w:rsid w:val="0068138B"/>
    <w:rsid w:val="00685F35"/>
    <w:rsid w:val="006B3F02"/>
    <w:rsid w:val="006B60F3"/>
    <w:rsid w:val="006D1295"/>
    <w:rsid w:val="006D5F05"/>
    <w:rsid w:val="006E503F"/>
    <w:rsid w:val="006F0261"/>
    <w:rsid w:val="006F05F7"/>
    <w:rsid w:val="006F76D9"/>
    <w:rsid w:val="00700199"/>
    <w:rsid w:val="00702F07"/>
    <w:rsid w:val="00704788"/>
    <w:rsid w:val="0071516F"/>
    <w:rsid w:val="00730558"/>
    <w:rsid w:val="007332A1"/>
    <w:rsid w:val="0073650F"/>
    <w:rsid w:val="00736C90"/>
    <w:rsid w:val="00744B2B"/>
    <w:rsid w:val="00751C40"/>
    <w:rsid w:val="00752594"/>
    <w:rsid w:val="0075577B"/>
    <w:rsid w:val="00755A16"/>
    <w:rsid w:val="00757A36"/>
    <w:rsid w:val="0077471A"/>
    <w:rsid w:val="00780694"/>
    <w:rsid w:val="0078534D"/>
    <w:rsid w:val="0079272D"/>
    <w:rsid w:val="00792A3D"/>
    <w:rsid w:val="00797D6E"/>
    <w:rsid w:val="007B1C86"/>
    <w:rsid w:val="007B5CAE"/>
    <w:rsid w:val="007C078F"/>
    <w:rsid w:val="007C2C6B"/>
    <w:rsid w:val="007C38BC"/>
    <w:rsid w:val="007D4542"/>
    <w:rsid w:val="007E2C95"/>
    <w:rsid w:val="007E553D"/>
    <w:rsid w:val="007E5759"/>
    <w:rsid w:val="007E7900"/>
    <w:rsid w:val="007F6EDA"/>
    <w:rsid w:val="008006EB"/>
    <w:rsid w:val="008304F7"/>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B76D9"/>
    <w:rsid w:val="008C25C3"/>
    <w:rsid w:val="008C667C"/>
    <w:rsid w:val="008D4AE5"/>
    <w:rsid w:val="008E154A"/>
    <w:rsid w:val="008E4C3F"/>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682"/>
    <w:rsid w:val="00973A3B"/>
    <w:rsid w:val="00983600"/>
    <w:rsid w:val="00997AA8"/>
    <w:rsid w:val="009A1B3C"/>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2853"/>
    <w:rsid w:val="00A331A3"/>
    <w:rsid w:val="00A34485"/>
    <w:rsid w:val="00A37E56"/>
    <w:rsid w:val="00A526D2"/>
    <w:rsid w:val="00A52E70"/>
    <w:rsid w:val="00A60458"/>
    <w:rsid w:val="00A635BC"/>
    <w:rsid w:val="00A70D54"/>
    <w:rsid w:val="00A729B1"/>
    <w:rsid w:val="00A84EFB"/>
    <w:rsid w:val="00A97FC0"/>
    <w:rsid w:val="00AA11AA"/>
    <w:rsid w:val="00AB2517"/>
    <w:rsid w:val="00AB6643"/>
    <w:rsid w:val="00AB785B"/>
    <w:rsid w:val="00AC22B0"/>
    <w:rsid w:val="00AD292B"/>
    <w:rsid w:val="00AE7634"/>
    <w:rsid w:val="00AF3440"/>
    <w:rsid w:val="00AF7F4B"/>
    <w:rsid w:val="00B01A73"/>
    <w:rsid w:val="00B04638"/>
    <w:rsid w:val="00B05351"/>
    <w:rsid w:val="00B170FD"/>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140C"/>
    <w:rsid w:val="00BD661A"/>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0AA9"/>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50D2A"/>
    <w:rsid w:val="00E632F9"/>
    <w:rsid w:val="00E640E5"/>
    <w:rsid w:val="00E64B32"/>
    <w:rsid w:val="00E66B39"/>
    <w:rsid w:val="00E67077"/>
    <w:rsid w:val="00E67AB8"/>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4A36"/>
    <w:rsid w:val="00F2619A"/>
    <w:rsid w:val="00F261DF"/>
    <w:rsid w:val="00F43A1C"/>
    <w:rsid w:val="00F522B6"/>
    <w:rsid w:val="00F60D6E"/>
    <w:rsid w:val="00F60E9A"/>
    <w:rsid w:val="00F631AD"/>
    <w:rsid w:val="00F63958"/>
    <w:rsid w:val="00F74819"/>
    <w:rsid w:val="00F74A06"/>
    <w:rsid w:val="00F75BD1"/>
    <w:rsid w:val="00F762C7"/>
    <w:rsid w:val="00F77CED"/>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documentManagement/types"/>
    <ds:schemaRef ds:uri="http://schemas.microsoft.com/office/infopath/2007/PartnerControls"/>
    <ds:schemaRef ds:uri="http://purl.org/dc/elements/1.1/"/>
    <ds:schemaRef ds:uri="f94004b3-5c85-4b6f-b2cb-b6e165aced0d"/>
    <ds:schemaRef ds:uri="http://purl.org/dc/terms/"/>
    <ds:schemaRef ds:uri="http://schemas.openxmlformats.org/package/2006/metadata/core-properties"/>
    <ds:schemaRef ds:uri="df30a891-99dc-44a0-9782-3a4c8c525d86"/>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14865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2025-04-14T10:38:00Z</cp:lastPrinted>
  <dcterms:created xsi:type="dcterms:W3CDTF">2025-05-05T09:41:00Z</dcterms:created>
  <dcterms:modified xsi:type="dcterms:W3CDTF">2025-05-05T09:41:00Z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