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1C4E" w14:textId="77777777" w:rsidR="00ED5251" w:rsidRDefault="003725E4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</w:rPr>
        <w:t>ostecký</w:t>
      </w:r>
      <w:proofErr w:type="spellEnd"/>
      <w:r>
        <w:rPr>
          <w:rStyle w:val="Nadpis1"/>
        </w:rPr>
        <w:t xml:space="preserve"> kraj</w:t>
      </w:r>
      <w:bookmarkEnd w:id="0"/>
    </w:p>
    <w:p w14:paraId="67B29D26" w14:textId="77777777" w:rsidR="00ED5251" w:rsidRDefault="003725E4">
      <w:pPr>
        <w:pStyle w:val="Nadpis20"/>
        <w:keepNext/>
        <w:keepLines/>
      </w:pPr>
      <w:bookmarkStart w:id="1" w:name="bookmark2"/>
      <w:r>
        <w:rPr>
          <w:rStyle w:val="Nadpis2"/>
          <w:b/>
          <w:bCs/>
        </w:rPr>
        <w:t>Krajský úřad</w:t>
      </w:r>
      <w:bookmarkEnd w:id="1"/>
    </w:p>
    <w:p w14:paraId="4A439937" w14:textId="77777777" w:rsidR="00ED5251" w:rsidRDefault="003725E4">
      <w:pPr>
        <w:pStyle w:val="Zkladntext1"/>
        <w:spacing w:after="0"/>
      </w:pPr>
      <w:r>
        <w:rPr>
          <w:rStyle w:val="Zkladntext"/>
        </w:rPr>
        <w:t>Číslo pronajímatele:</w:t>
      </w:r>
    </w:p>
    <w:p w14:paraId="1E59A7BA" w14:textId="77777777" w:rsidR="00ED5251" w:rsidRDefault="003725E4">
      <w:pPr>
        <w:pStyle w:val="Zkladntext1"/>
        <w:spacing w:after="820"/>
      </w:pPr>
      <w:r>
        <w:rPr>
          <w:rStyle w:val="Zkladntext"/>
        </w:rPr>
        <w:t>Číslo nájemce:</w:t>
      </w:r>
    </w:p>
    <w:p w14:paraId="70844EC1" w14:textId="77777777" w:rsidR="00ED5251" w:rsidRDefault="003725E4">
      <w:pPr>
        <w:pStyle w:val="Nadpis30"/>
        <w:keepNext/>
        <w:keepLines/>
        <w:spacing w:after="0" w:line="197" w:lineRule="auto"/>
      </w:pPr>
      <w:bookmarkStart w:id="2" w:name="bookmark4"/>
      <w:r>
        <w:rPr>
          <w:rStyle w:val="Nadpis3"/>
          <w:b/>
          <w:bCs/>
        </w:rPr>
        <w:t>DODATEK Č. 1 KE SMLOUVĚ O NÁJMU VĚCI NEMOVITÉ</w:t>
      </w:r>
      <w:bookmarkEnd w:id="2"/>
    </w:p>
    <w:p w14:paraId="1ECE2732" w14:textId="77777777" w:rsidR="00ED5251" w:rsidRDefault="003725E4">
      <w:pPr>
        <w:pStyle w:val="Zkladntext1"/>
        <w:spacing w:after="740"/>
        <w:jc w:val="center"/>
      </w:pPr>
      <w:r>
        <w:rPr>
          <w:rStyle w:val="Zkladntext"/>
        </w:rPr>
        <w:t>uzavřená dle ustanovení § 2201 a násl. zák. č. 89/2012 Sb., občanský zákoník, ve znění pozdějších</w:t>
      </w:r>
      <w:r>
        <w:rPr>
          <w:rStyle w:val="Zkladntext"/>
        </w:rPr>
        <w:br/>
        <w:t>předpisů (dále jen „občanský zákoník“)</w:t>
      </w:r>
    </w:p>
    <w:p w14:paraId="65C25DFD" w14:textId="77777777" w:rsidR="00ED5251" w:rsidRDefault="003725E4">
      <w:pPr>
        <w:pStyle w:val="Nadpis30"/>
        <w:keepNext/>
        <w:keepLines/>
        <w:spacing w:after="280"/>
        <w:jc w:val="left"/>
      </w:pPr>
      <w:bookmarkStart w:id="3" w:name="bookmark6"/>
      <w:r>
        <w:rPr>
          <w:rStyle w:val="Nadpis3"/>
          <w:b/>
          <w:bCs/>
        </w:rPr>
        <w:t>SMLUVNÍ STRANY</w:t>
      </w:r>
      <w:bookmarkEnd w:id="3"/>
    </w:p>
    <w:p w14:paraId="6C9C8EEB" w14:textId="77777777" w:rsidR="00ED5251" w:rsidRDefault="003725E4">
      <w:pPr>
        <w:pStyle w:val="Titulektabulky0"/>
        <w:ind w:left="5"/>
      </w:pPr>
      <w:r>
        <w:rPr>
          <w:rStyle w:val="Titulektabulky"/>
          <w:b/>
          <w:bCs/>
        </w:rPr>
        <w:t>Pronajímatel: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6782"/>
      </w:tblGrid>
      <w:tr w:rsidR="00ED5251" w14:paraId="030EE6F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909" w:type="dxa"/>
            <w:shd w:val="clear" w:color="auto" w:fill="auto"/>
          </w:tcPr>
          <w:p w14:paraId="4D23CFAC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 xml:space="preserve">TD </w:t>
            </w:r>
            <w:proofErr w:type="spellStart"/>
            <w:r>
              <w:rPr>
                <w:rStyle w:val="Jin"/>
                <w:b/>
                <w:bCs/>
              </w:rPr>
              <w:t>invest</w:t>
            </w:r>
            <w:proofErr w:type="spellEnd"/>
            <w:r>
              <w:rPr>
                <w:rStyle w:val="Jin"/>
                <w:b/>
                <w:bCs/>
              </w:rPr>
              <w:t>, a.s.</w:t>
            </w:r>
          </w:p>
          <w:p w14:paraId="71E2CE86" w14:textId="77777777" w:rsidR="00ED5251" w:rsidRDefault="003725E4">
            <w:pPr>
              <w:pStyle w:val="Jin0"/>
              <w:spacing w:after="0" w:line="233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782" w:type="dxa"/>
            <w:shd w:val="clear" w:color="auto" w:fill="auto"/>
            <w:vAlign w:val="bottom"/>
          </w:tcPr>
          <w:p w14:paraId="2519F11A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Pelušková 1407, 198 00 Praha – Kyje</w:t>
            </w:r>
          </w:p>
          <w:p w14:paraId="6F434730" w14:textId="77777777" w:rsidR="00ED5251" w:rsidRDefault="003725E4">
            <w:pPr>
              <w:pStyle w:val="Jin0"/>
              <w:spacing w:after="0" w:line="233" w:lineRule="auto"/>
            </w:pPr>
            <w:r>
              <w:rPr>
                <w:rStyle w:val="Jin"/>
              </w:rPr>
              <w:t>Spisová značka: B 16858 vedená u Městského soudu v Praze</w:t>
            </w:r>
          </w:p>
        </w:tc>
      </w:tr>
      <w:tr w:rsidR="00ED5251" w14:paraId="296AAB1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909" w:type="dxa"/>
            <w:shd w:val="clear" w:color="auto" w:fill="auto"/>
          </w:tcPr>
          <w:p w14:paraId="6DC036C6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Zastoupený:</w:t>
            </w:r>
          </w:p>
        </w:tc>
        <w:tc>
          <w:tcPr>
            <w:tcW w:w="6782" w:type="dxa"/>
            <w:shd w:val="clear" w:color="auto" w:fill="auto"/>
          </w:tcPr>
          <w:p w14:paraId="020232FC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 xml:space="preserve">Ing. Janem Tylem, TD </w:t>
            </w:r>
            <w:proofErr w:type="spellStart"/>
            <w:r>
              <w:rPr>
                <w:rStyle w:val="Jin"/>
              </w:rPr>
              <w:t>invest</w:t>
            </w:r>
            <w:proofErr w:type="spellEnd"/>
            <w:r>
              <w:rPr>
                <w:rStyle w:val="Jin"/>
              </w:rPr>
              <w:t>, a.s., na základě plné moci ze dne 28.01.2025</w:t>
            </w:r>
          </w:p>
        </w:tc>
      </w:tr>
      <w:tr w:rsidR="00ED5251" w14:paraId="30658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09" w:type="dxa"/>
            <w:shd w:val="clear" w:color="auto" w:fill="auto"/>
          </w:tcPr>
          <w:p w14:paraId="7C316385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IČ:</w:t>
            </w:r>
          </w:p>
        </w:tc>
        <w:tc>
          <w:tcPr>
            <w:tcW w:w="6782" w:type="dxa"/>
            <w:shd w:val="clear" w:color="auto" w:fill="auto"/>
          </w:tcPr>
          <w:p w14:paraId="0DC3ECF1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28665457</w:t>
            </w:r>
          </w:p>
        </w:tc>
      </w:tr>
      <w:tr w:rsidR="00ED5251" w14:paraId="30871D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09" w:type="dxa"/>
            <w:shd w:val="clear" w:color="auto" w:fill="auto"/>
          </w:tcPr>
          <w:p w14:paraId="4192A638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782" w:type="dxa"/>
            <w:shd w:val="clear" w:color="auto" w:fill="auto"/>
          </w:tcPr>
          <w:p w14:paraId="31FF770E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CZ28665457</w:t>
            </w:r>
          </w:p>
        </w:tc>
      </w:tr>
      <w:tr w:rsidR="00ED5251" w14:paraId="7B8F6C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4A78AB9C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Bank. spojení:</w:t>
            </w:r>
          </w:p>
        </w:tc>
        <w:tc>
          <w:tcPr>
            <w:tcW w:w="6782" w:type="dxa"/>
            <w:shd w:val="clear" w:color="auto" w:fill="auto"/>
            <w:vAlign w:val="bottom"/>
          </w:tcPr>
          <w:p w14:paraId="125C5757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Komerční banka, a.s.</w:t>
            </w:r>
          </w:p>
        </w:tc>
      </w:tr>
      <w:tr w:rsidR="00ED5251" w14:paraId="3F64B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482F8CE6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Číslo účtu:</w:t>
            </w:r>
          </w:p>
        </w:tc>
        <w:tc>
          <w:tcPr>
            <w:tcW w:w="6782" w:type="dxa"/>
            <w:shd w:val="clear" w:color="auto" w:fill="auto"/>
            <w:vAlign w:val="bottom"/>
          </w:tcPr>
          <w:p w14:paraId="633D3D47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43-2704870257/0100</w:t>
            </w:r>
          </w:p>
        </w:tc>
      </w:tr>
      <w:tr w:rsidR="00ED5251" w14:paraId="16DC5B6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150B7300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Zástupce pro věcná jednání:</w:t>
            </w:r>
          </w:p>
        </w:tc>
        <w:tc>
          <w:tcPr>
            <w:tcW w:w="6782" w:type="dxa"/>
            <w:shd w:val="clear" w:color="auto" w:fill="auto"/>
            <w:vAlign w:val="bottom"/>
          </w:tcPr>
          <w:p w14:paraId="7347718E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Ing. Jan Tyl</w:t>
            </w:r>
          </w:p>
        </w:tc>
      </w:tr>
      <w:tr w:rsidR="00ED5251" w14:paraId="55B8AF4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909" w:type="dxa"/>
            <w:shd w:val="clear" w:color="auto" w:fill="auto"/>
          </w:tcPr>
          <w:p w14:paraId="1EAA8FC0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E-mail/telefon:</w:t>
            </w:r>
          </w:p>
        </w:tc>
        <w:tc>
          <w:tcPr>
            <w:tcW w:w="6782" w:type="dxa"/>
            <w:shd w:val="clear" w:color="auto" w:fill="auto"/>
          </w:tcPr>
          <w:p w14:paraId="105987BA" w14:textId="77777777" w:rsidR="00ED5251" w:rsidRDefault="003725E4">
            <w:pPr>
              <w:pStyle w:val="Jin0"/>
              <w:spacing w:after="0"/>
            </w:pPr>
            <w:hyperlink r:id="rId7" w:history="1">
              <w:r>
                <w:rPr>
                  <w:rStyle w:val="Jin"/>
                  <w:u w:val="single"/>
                </w:rPr>
                <w:t>tyl@cht.cz</w:t>
              </w:r>
              <w:r>
                <w:rPr>
                  <w:rStyle w:val="Jin"/>
                </w:rPr>
                <w:t>,</w:t>
              </w:r>
            </w:hyperlink>
            <w:r>
              <w:rPr>
                <w:rStyle w:val="Jin"/>
              </w:rPr>
              <w:t xml:space="preserve"> 724 115 252</w:t>
            </w:r>
          </w:p>
        </w:tc>
      </w:tr>
    </w:tbl>
    <w:p w14:paraId="2929264A" w14:textId="77777777" w:rsidR="00ED5251" w:rsidRDefault="00ED5251">
      <w:pPr>
        <w:spacing w:after="59" w:line="1" w:lineRule="exact"/>
      </w:pPr>
    </w:p>
    <w:p w14:paraId="2AAEA326" w14:textId="77777777" w:rsidR="00ED5251" w:rsidRDefault="003725E4">
      <w:pPr>
        <w:pStyle w:val="Zkladntext1"/>
        <w:spacing w:after="280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pronajímatel</w:t>
      </w:r>
      <w:r>
        <w:rPr>
          <w:rStyle w:val="Zkladntext"/>
        </w:rPr>
        <w:t>“)</w:t>
      </w:r>
    </w:p>
    <w:p w14:paraId="08B5C079" w14:textId="77777777" w:rsidR="00ED5251" w:rsidRDefault="003725E4">
      <w:pPr>
        <w:pStyle w:val="Zkladntext1"/>
        <w:spacing w:after="320"/>
      </w:pPr>
      <w:r>
        <w:rPr>
          <w:rStyle w:val="Zkladntext"/>
        </w:rPr>
        <w:t>a</w:t>
      </w:r>
    </w:p>
    <w:p w14:paraId="3FA5A95D" w14:textId="77777777" w:rsidR="00ED5251" w:rsidRDefault="003725E4">
      <w:pPr>
        <w:pStyle w:val="Titulektabulky0"/>
        <w:ind w:left="10"/>
      </w:pPr>
      <w:r>
        <w:rPr>
          <w:rStyle w:val="Titulektabulky"/>
          <w:b/>
          <w:bCs/>
        </w:rPr>
        <w:t>Nájemce:</w:t>
      </w:r>
    </w:p>
    <w:p w14:paraId="515F3298" w14:textId="77777777" w:rsidR="00ED5251" w:rsidRDefault="003725E4">
      <w:pPr>
        <w:pStyle w:val="Titulektabulky0"/>
        <w:spacing w:line="233" w:lineRule="auto"/>
        <w:ind w:left="10"/>
      </w:pPr>
      <w:r>
        <w:rPr>
          <w:rStyle w:val="Titulektabulky"/>
          <w:b/>
          <w:bCs/>
        </w:rPr>
        <w:t xml:space="preserve">Gymnázium Josefa </w:t>
      </w:r>
      <w:r>
        <w:rPr>
          <w:rStyle w:val="Titulektabulky"/>
          <w:b/>
          <w:bCs/>
        </w:rPr>
        <w:t>Jungmanna, Litoměřice, Svojsíkova 1,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6778"/>
      </w:tblGrid>
      <w:tr w:rsidR="00ED5251" w14:paraId="6622BF7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909" w:type="dxa"/>
            <w:shd w:val="clear" w:color="auto" w:fill="auto"/>
          </w:tcPr>
          <w:p w14:paraId="4C24DAF1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778" w:type="dxa"/>
            <w:shd w:val="clear" w:color="auto" w:fill="auto"/>
          </w:tcPr>
          <w:p w14:paraId="3CF034B4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Svojsíkova 1015/</w:t>
            </w:r>
            <w:proofErr w:type="gramStart"/>
            <w:r>
              <w:rPr>
                <w:rStyle w:val="Jin"/>
              </w:rPr>
              <w:t>1a</w:t>
            </w:r>
            <w:proofErr w:type="gramEnd"/>
            <w:r>
              <w:rPr>
                <w:rStyle w:val="Jin"/>
              </w:rPr>
              <w:t>, 412 01 Litoměřice - Předměstí</w:t>
            </w:r>
          </w:p>
        </w:tc>
      </w:tr>
      <w:tr w:rsidR="00ED5251" w14:paraId="286C5E0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5E1855E1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Zastoupený:</w:t>
            </w:r>
          </w:p>
        </w:tc>
        <w:tc>
          <w:tcPr>
            <w:tcW w:w="6778" w:type="dxa"/>
            <w:shd w:val="clear" w:color="auto" w:fill="auto"/>
            <w:vAlign w:val="bottom"/>
          </w:tcPr>
          <w:p w14:paraId="66A3792B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RNDr. Bc. Radkou Balounovou, Ph.D., ředitelkou</w:t>
            </w:r>
          </w:p>
        </w:tc>
      </w:tr>
      <w:tr w:rsidR="00ED5251" w14:paraId="72A86D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60612D74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IČ:</w:t>
            </w:r>
          </w:p>
        </w:tc>
        <w:tc>
          <w:tcPr>
            <w:tcW w:w="6778" w:type="dxa"/>
            <w:shd w:val="clear" w:color="auto" w:fill="auto"/>
            <w:vAlign w:val="bottom"/>
          </w:tcPr>
          <w:p w14:paraId="0B19AA56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46773673</w:t>
            </w:r>
          </w:p>
        </w:tc>
      </w:tr>
      <w:tr w:rsidR="00ED5251" w14:paraId="011D708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4290B7CA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Bank. spojení:</w:t>
            </w:r>
          </w:p>
        </w:tc>
        <w:tc>
          <w:tcPr>
            <w:tcW w:w="6778" w:type="dxa"/>
            <w:shd w:val="clear" w:color="auto" w:fill="auto"/>
            <w:vAlign w:val="bottom"/>
          </w:tcPr>
          <w:p w14:paraId="44E78671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Československá obchodní banka, a.s.</w:t>
            </w:r>
          </w:p>
        </w:tc>
      </w:tr>
      <w:tr w:rsidR="00ED5251" w14:paraId="763818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6172857E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 xml:space="preserve">Číslo </w:t>
            </w:r>
            <w:r>
              <w:rPr>
                <w:rStyle w:val="Jin"/>
              </w:rPr>
              <w:t>účtu:</w:t>
            </w:r>
          </w:p>
        </w:tc>
        <w:tc>
          <w:tcPr>
            <w:tcW w:w="6778" w:type="dxa"/>
            <w:shd w:val="clear" w:color="auto" w:fill="auto"/>
            <w:vAlign w:val="bottom"/>
          </w:tcPr>
          <w:p w14:paraId="01781130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253214818/0300</w:t>
            </w:r>
          </w:p>
        </w:tc>
      </w:tr>
      <w:tr w:rsidR="00ED5251" w14:paraId="4936925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610864B0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Zástupce pro věcná jednání:</w:t>
            </w:r>
          </w:p>
        </w:tc>
        <w:tc>
          <w:tcPr>
            <w:tcW w:w="6778" w:type="dxa"/>
            <w:shd w:val="clear" w:color="auto" w:fill="auto"/>
            <w:vAlign w:val="bottom"/>
          </w:tcPr>
          <w:p w14:paraId="1A0B93EC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RNDr. Bc. Radka Balounová, Ph.D.</w:t>
            </w:r>
          </w:p>
        </w:tc>
      </w:tr>
      <w:tr w:rsidR="00ED5251" w14:paraId="6DB31B6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909" w:type="dxa"/>
            <w:shd w:val="clear" w:color="auto" w:fill="auto"/>
          </w:tcPr>
          <w:p w14:paraId="4D99B427" w14:textId="77777777" w:rsidR="00ED5251" w:rsidRDefault="003725E4">
            <w:pPr>
              <w:pStyle w:val="Jin0"/>
              <w:spacing w:after="0"/>
            </w:pPr>
            <w:r>
              <w:rPr>
                <w:rStyle w:val="Jin"/>
              </w:rPr>
              <w:t>E-mail/telefon:</w:t>
            </w:r>
          </w:p>
        </w:tc>
        <w:tc>
          <w:tcPr>
            <w:tcW w:w="6778" w:type="dxa"/>
            <w:shd w:val="clear" w:color="auto" w:fill="auto"/>
          </w:tcPr>
          <w:p w14:paraId="1CA1291E" w14:textId="77777777" w:rsidR="00ED5251" w:rsidRDefault="003725E4">
            <w:pPr>
              <w:pStyle w:val="Jin0"/>
              <w:spacing w:after="0"/>
            </w:pPr>
            <w:hyperlink r:id="rId8" w:history="1">
              <w:r>
                <w:rPr>
                  <w:rStyle w:val="Jin"/>
                  <w:u w:val="single"/>
                </w:rPr>
                <w:t>reditelka@gjj.cz</w:t>
              </w:r>
              <w:r>
                <w:rPr>
                  <w:rStyle w:val="Jin"/>
                </w:rPr>
                <w:t xml:space="preserve">, </w:t>
              </w:r>
            </w:hyperlink>
            <w:r>
              <w:rPr>
                <w:rStyle w:val="Jin"/>
              </w:rPr>
              <w:t>732 651 186</w:t>
            </w:r>
          </w:p>
        </w:tc>
      </w:tr>
    </w:tbl>
    <w:p w14:paraId="0B2FC891" w14:textId="77777777" w:rsidR="00ED5251" w:rsidRDefault="003725E4">
      <w:pPr>
        <w:pStyle w:val="Titulektabulky0"/>
        <w:ind w:left="24"/>
      </w:pPr>
      <w:r>
        <w:rPr>
          <w:rStyle w:val="Titulektabulky"/>
        </w:rPr>
        <w:t>(dále jen „</w:t>
      </w:r>
      <w:r>
        <w:rPr>
          <w:rStyle w:val="Titulektabulky"/>
          <w:b/>
          <w:bCs/>
        </w:rPr>
        <w:t>nájemce</w:t>
      </w:r>
      <w:r>
        <w:rPr>
          <w:rStyle w:val="Titulektabulky"/>
        </w:rPr>
        <w:t>“</w:t>
      </w:r>
    </w:p>
    <w:p w14:paraId="432E1D58" w14:textId="77777777" w:rsidR="00ED5251" w:rsidRDefault="00ED5251">
      <w:pPr>
        <w:spacing w:after="919" w:line="1" w:lineRule="exact"/>
      </w:pPr>
    </w:p>
    <w:p w14:paraId="5B289B6C" w14:textId="77777777" w:rsidR="00ED5251" w:rsidRDefault="003725E4">
      <w:pPr>
        <w:pStyle w:val="Zkladntext1"/>
        <w:spacing w:after="0"/>
        <w:jc w:val="center"/>
      </w:pPr>
      <w:r>
        <w:rPr>
          <w:rStyle w:val="Zkladntext"/>
        </w:rPr>
        <w:t>uzavírají níže uvedeného dne, měsíce a roku tento</w:t>
      </w:r>
    </w:p>
    <w:p w14:paraId="3FDF7200" w14:textId="77777777" w:rsidR="00ED5251" w:rsidRDefault="003725E4">
      <w:pPr>
        <w:pStyle w:val="Nadpis30"/>
        <w:keepNext/>
        <w:keepLines/>
        <w:spacing w:after="0"/>
      </w:pPr>
      <w:bookmarkStart w:id="4" w:name="bookmark8"/>
      <w:r>
        <w:rPr>
          <w:rStyle w:val="Nadpis3"/>
          <w:b/>
          <w:bCs/>
        </w:rPr>
        <w:t xml:space="preserve">DODATEK Č. 1 </w:t>
      </w:r>
      <w:r>
        <w:rPr>
          <w:rStyle w:val="Nadpis3"/>
          <w:b/>
          <w:bCs/>
        </w:rPr>
        <w:t>KE SMLOUVU O NÁJMU VĚCI NEMOVITÉ ZE DNE 6. 3. 2023</w:t>
      </w:r>
      <w:bookmarkEnd w:id="4"/>
    </w:p>
    <w:p w14:paraId="7A2535D3" w14:textId="77777777" w:rsidR="00ED5251" w:rsidRDefault="003725E4">
      <w:pPr>
        <w:pStyle w:val="Zkladntext1"/>
        <w:spacing w:after="280"/>
        <w:jc w:val="center"/>
      </w:pPr>
      <w:r>
        <w:rPr>
          <w:rStyle w:val="Zkladntext"/>
        </w:rPr>
        <w:t>(dále jen „dodatek č. 1“)</w:t>
      </w:r>
    </w:p>
    <w:p w14:paraId="008ED8F7" w14:textId="77777777" w:rsidR="00ED5251" w:rsidRDefault="00ED5251">
      <w:pPr>
        <w:pStyle w:val="Nadpis40"/>
        <w:keepNext/>
        <w:keepLines/>
        <w:numPr>
          <w:ilvl w:val="0"/>
          <w:numId w:val="1"/>
        </w:numPr>
      </w:pPr>
      <w:bookmarkStart w:id="5" w:name="bookmark10"/>
      <w:bookmarkEnd w:id="5"/>
    </w:p>
    <w:p w14:paraId="03263235" w14:textId="77777777" w:rsidR="00ED5251" w:rsidRDefault="003725E4">
      <w:pPr>
        <w:pStyle w:val="Zkladntext1"/>
        <w:spacing w:after="500"/>
        <w:jc w:val="both"/>
      </w:pPr>
      <w:r>
        <w:rPr>
          <w:rStyle w:val="Zkladntext"/>
        </w:rPr>
        <w:t xml:space="preserve">Smluvní strany uzavřely dne 06.03.2023 Smlouvu o nájmu věci nemovité, jejímž předmětem je nájem pozemku p. č. 310/1 v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Litoměřice, jehož součástí je stavba č. p. 1 v ulici J</w:t>
      </w:r>
      <w:r>
        <w:rPr>
          <w:rStyle w:val="Zkladntext"/>
        </w:rPr>
        <w:t>ezuitská, Litoměřice za účelem provozu školy z důvodu rekonstrukce budovy školy.</w:t>
      </w:r>
    </w:p>
    <w:p w14:paraId="6B60D0C0" w14:textId="77777777" w:rsidR="00ED5251" w:rsidRDefault="00ED5251">
      <w:pPr>
        <w:pStyle w:val="Nadpis40"/>
        <w:keepNext/>
        <w:keepLines/>
        <w:numPr>
          <w:ilvl w:val="0"/>
          <w:numId w:val="1"/>
        </w:numPr>
      </w:pPr>
      <w:bookmarkStart w:id="6" w:name="bookmark12"/>
      <w:bookmarkEnd w:id="6"/>
    </w:p>
    <w:p w14:paraId="7C35559C" w14:textId="77777777" w:rsidR="00ED5251" w:rsidRDefault="003725E4">
      <w:pPr>
        <w:pStyle w:val="Zkladntext1"/>
        <w:spacing w:after="360"/>
      </w:pPr>
      <w:r>
        <w:rPr>
          <w:rStyle w:val="Zkladntext"/>
        </w:rPr>
        <w:t>Obě smluvní strany se dohodly na úpravě Smlouvy o nájmu věci nemovité ze dne 06.03.2023 takto:</w:t>
      </w:r>
    </w:p>
    <w:p w14:paraId="25223CEE" w14:textId="77777777" w:rsidR="00ED5251" w:rsidRDefault="003725E4">
      <w:pPr>
        <w:pStyle w:val="Zkladntext1"/>
        <w:jc w:val="both"/>
      </w:pPr>
      <w:r>
        <w:rPr>
          <w:rStyle w:val="Zkladntext"/>
        </w:rPr>
        <w:t>Čl. II se mění a nově zní takto:</w:t>
      </w:r>
    </w:p>
    <w:p w14:paraId="2D8848A9" w14:textId="77777777" w:rsidR="00ED5251" w:rsidRDefault="003725E4">
      <w:pPr>
        <w:pStyle w:val="Nadpis40"/>
        <w:keepNext/>
        <w:keepLines/>
        <w:numPr>
          <w:ilvl w:val="0"/>
          <w:numId w:val="2"/>
        </w:numPr>
        <w:tabs>
          <w:tab w:val="left" w:pos="380"/>
        </w:tabs>
        <w:jc w:val="both"/>
      </w:pPr>
      <w:bookmarkStart w:id="7" w:name="bookmark14"/>
      <w:r>
        <w:rPr>
          <w:rStyle w:val="Nadpis4"/>
          <w:b/>
          <w:bCs/>
        </w:rPr>
        <w:t>Doba trvání nájmu</w:t>
      </w:r>
      <w:bookmarkEnd w:id="7"/>
    </w:p>
    <w:p w14:paraId="605838D6" w14:textId="77777777" w:rsidR="00ED5251" w:rsidRDefault="003725E4">
      <w:pPr>
        <w:pStyle w:val="Zkladntext1"/>
        <w:numPr>
          <w:ilvl w:val="0"/>
          <w:numId w:val="3"/>
        </w:numPr>
        <w:tabs>
          <w:tab w:val="left" w:pos="380"/>
        </w:tabs>
        <w:jc w:val="both"/>
      </w:pPr>
      <w:r>
        <w:rPr>
          <w:rStyle w:val="Zkladntext"/>
        </w:rPr>
        <w:t xml:space="preserve">Tento dodatek č. 1 se </w:t>
      </w:r>
      <w:r>
        <w:rPr>
          <w:rStyle w:val="Zkladntext"/>
        </w:rPr>
        <w:t>uzavírá na dobu určitou, a to od 01.05.2025 do 31.08.2026.</w:t>
      </w:r>
    </w:p>
    <w:p w14:paraId="3389417C" w14:textId="77777777" w:rsidR="00ED5251" w:rsidRDefault="003725E4">
      <w:pPr>
        <w:pStyle w:val="Zkladntext1"/>
        <w:numPr>
          <w:ilvl w:val="0"/>
          <w:numId w:val="3"/>
        </w:numPr>
        <w:tabs>
          <w:tab w:val="left" w:pos="380"/>
        </w:tabs>
        <w:spacing w:after="0"/>
        <w:jc w:val="both"/>
      </w:pPr>
      <w:r>
        <w:rPr>
          <w:rStyle w:val="Zkladntext"/>
        </w:rPr>
        <w:t xml:space="preserve">Výpovědní lhůta činí 1 měsíc. Nájemce je oprávněn vypovědět tuto smlouvu s jednoměsíční </w:t>
      </w:r>
      <w:proofErr w:type="spellStart"/>
      <w:r>
        <w:rPr>
          <w:rStyle w:val="Zkladntext"/>
        </w:rPr>
        <w:t>vý</w:t>
      </w:r>
      <w:proofErr w:type="spellEnd"/>
      <w:r>
        <w:rPr>
          <w:rStyle w:val="Zkladntext"/>
        </w:rPr>
        <w:softHyphen/>
      </w:r>
    </w:p>
    <w:p w14:paraId="33A2006C" w14:textId="77777777" w:rsidR="00ED5251" w:rsidRDefault="003725E4">
      <w:pPr>
        <w:pStyle w:val="Zkladntext1"/>
        <w:ind w:firstLine="440"/>
        <w:jc w:val="both"/>
      </w:pPr>
      <w:proofErr w:type="spellStart"/>
      <w:r>
        <w:rPr>
          <w:rStyle w:val="Zkladntext"/>
        </w:rPr>
        <w:t>povědní</w:t>
      </w:r>
      <w:proofErr w:type="spellEnd"/>
      <w:r>
        <w:rPr>
          <w:rStyle w:val="Zkladntext"/>
        </w:rPr>
        <w:t xml:space="preserve"> lhůtou.</w:t>
      </w:r>
    </w:p>
    <w:p w14:paraId="68F708EC" w14:textId="77777777" w:rsidR="00ED5251" w:rsidRDefault="003725E4">
      <w:pPr>
        <w:pStyle w:val="Zkladntext1"/>
        <w:numPr>
          <w:ilvl w:val="0"/>
          <w:numId w:val="3"/>
        </w:numPr>
        <w:tabs>
          <w:tab w:val="left" w:pos="380"/>
        </w:tabs>
        <w:spacing w:after="360"/>
        <w:ind w:left="440" w:hanging="440"/>
        <w:jc w:val="both"/>
      </w:pPr>
      <w:r>
        <w:rPr>
          <w:rStyle w:val="Zkladntext"/>
        </w:rPr>
        <w:t>K poslednímu dni účinnosti nájemní smlouvy je nájemce povinen vyklidit předmět nájmu a pr</w:t>
      </w:r>
      <w:r>
        <w:rPr>
          <w:rStyle w:val="Zkladntext"/>
        </w:rPr>
        <w:t>o</w:t>
      </w:r>
      <w:r>
        <w:rPr>
          <w:rStyle w:val="Zkladntext"/>
        </w:rPr>
        <w:softHyphen/>
        <w:t>tokolárně ho předat zástupci pronajímatele pro věcná jednání v takovém stavu, v jakém byl v době, kdy ho převzal, s přihlédnutím k obvyklému opotřebení při řádném užívání a k pronají</w:t>
      </w:r>
      <w:r>
        <w:rPr>
          <w:rStyle w:val="Zkladntext"/>
        </w:rPr>
        <w:softHyphen/>
        <w:t>matelem odsouhlaseným úpravám.</w:t>
      </w:r>
    </w:p>
    <w:p w14:paraId="681E2FD5" w14:textId="77777777" w:rsidR="00ED5251" w:rsidRDefault="003725E4">
      <w:pPr>
        <w:pStyle w:val="Zkladntext1"/>
        <w:jc w:val="both"/>
      </w:pPr>
      <w:r>
        <w:rPr>
          <w:rStyle w:val="Zkladntext"/>
        </w:rPr>
        <w:t>Čl. III se mění a nově zní takto:</w:t>
      </w:r>
    </w:p>
    <w:p w14:paraId="691DE002" w14:textId="77777777" w:rsidR="00ED5251" w:rsidRDefault="003725E4">
      <w:pPr>
        <w:pStyle w:val="Nadpis40"/>
        <w:keepNext/>
        <w:keepLines/>
        <w:numPr>
          <w:ilvl w:val="0"/>
          <w:numId w:val="2"/>
        </w:numPr>
        <w:tabs>
          <w:tab w:val="left" w:pos="380"/>
        </w:tabs>
        <w:jc w:val="both"/>
      </w:pPr>
      <w:bookmarkStart w:id="8" w:name="bookmark16"/>
      <w:r>
        <w:rPr>
          <w:rStyle w:val="Nadpis4"/>
          <w:b/>
          <w:bCs/>
        </w:rPr>
        <w:t>Nájemn</w:t>
      </w:r>
      <w:r>
        <w:rPr>
          <w:rStyle w:val="Nadpis4"/>
          <w:b/>
          <w:bCs/>
        </w:rPr>
        <w:t>é, platební podmínky a ostatní finanční ujednání</w:t>
      </w:r>
      <w:bookmarkEnd w:id="8"/>
    </w:p>
    <w:p w14:paraId="3A27A091" w14:textId="77777777" w:rsidR="00ED5251" w:rsidRDefault="003725E4">
      <w:pPr>
        <w:pStyle w:val="Zkladntext1"/>
        <w:numPr>
          <w:ilvl w:val="0"/>
          <w:numId w:val="4"/>
        </w:numPr>
        <w:tabs>
          <w:tab w:val="left" w:pos="380"/>
        </w:tabs>
        <w:ind w:left="440" w:hanging="440"/>
        <w:jc w:val="both"/>
      </w:pPr>
      <w:r>
        <w:rPr>
          <w:rStyle w:val="Zkladntext"/>
        </w:rPr>
        <w:t>Nájemné v období počínaje 01.05.2025 se ujednává ve výši 390.467 Kč (slovy tři sta devadesát tisíc čtyři sta šedesát sedm korun českých) za měsíc včetně DPH.</w:t>
      </w:r>
    </w:p>
    <w:p w14:paraId="1D47AD79" w14:textId="77777777" w:rsidR="00ED5251" w:rsidRDefault="003725E4">
      <w:pPr>
        <w:pStyle w:val="Zkladntext1"/>
        <w:numPr>
          <w:ilvl w:val="0"/>
          <w:numId w:val="4"/>
        </w:numPr>
        <w:tabs>
          <w:tab w:val="left" w:pos="380"/>
        </w:tabs>
        <w:ind w:left="440" w:hanging="440"/>
        <w:jc w:val="both"/>
      </w:pPr>
      <w:r>
        <w:rPr>
          <w:rStyle w:val="Zkladntext"/>
        </w:rPr>
        <w:t>Nájemné je stanoveno dohodou na základě znaleckéh</w:t>
      </w:r>
      <w:r>
        <w:rPr>
          <w:rStyle w:val="Zkladntext"/>
        </w:rPr>
        <w:t>o posudku č. 013862/2025 znalců Ing. Jana Brabce a Jitky Businské ze dne 24.02.2025.</w:t>
      </w:r>
    </w:p>
    <w:p w14:paraId="61D6C9C8" w14:textId="77777777" w:rsidR="00ED5251" w:rsidRDefault="003725E4">
      <w:pPr>
        <w:pStyle w:val="Zkladntext1"/>
        <w:numPr>
          <w:ilvl w:val="0"/>
          <w:numId w:val="4"/>
        </w:numPr>
        <w:tabs>
          <w:tab w:val="left" w:pos="380"/>
        </w:tabs>
        <w:ind w:left="440" w:hanging="440"/>
      </w:pPr>
      <w:r>
        <w:rPr>
          <w:rStyle w:val="Zkladntext"/>
        </w:rPr>
        <w:t>Nájemné ve výši dle odst. 1 tohoto článku je splatné vždy 1x měsíčně do posledního dne v měsíci, za který se nájemné platí. První nájemné je splatné do 31.05.2025. Obě sml</w:t>
      </w:r>
      <w:r>
        <w:rPr>
          <w:rStyle w:val="Zkladntext"/>
        </w:rPr>
        <w:t>uvní strany se dohodly na tom, že peněžitý závazek je splněn dnem, kdy je částka připsána na účet pronajímatele.</w:t>
      </w:r>
    </w:p>
    <w:p w14:paraId="0807DACC" w14:textId="77777777" w:rsidR="00ED5251" w:rsidRDefault="003725E4">
      <w:pPr>
        <w:pStyle w:val="Zkladntext1"/>
        <w:numPr>
          <w:ilvl w:val="0"/>
          <w:numId w:val="4"/>
        </w:numPr>
        <w:tabs>
          <w:tab w:val="left" w:pos="380"/>
        </w:tabs>
        <w:jc w:val="both"/>
      </w:pPr>
      <w:r>
        <w:rPr>
          <w:rStyle w:val="Zkladntext"/>
        </w:rPr>
        <w:t>Smluvní strany se dohodly na tom, že jistota nebude sjednána.</w:t>
      </w:r>
    </w:p>
    <w:p w14:paraId="30616F1F" w14:textId="77777777" w:rsidR="00ED5251" w:rsidRDefault="003725E4">
      <w:pPr>
        <w:pStyle w:val="Zkladntext1"/>
        <w:numPr>
          <w:ilvl w:val="0"/>
          <w:numId w:val="4"/>
        </w:numPr>
        <w:tabs>
          <w:tab w:val="left" w:pos="380"/>
        </w:tabs>
        <w:spacing w:after="420"/>
        <w:ind w:left="440" w:hanging="440"/>
        <w:jc w:val="both"/>
      </w:pPr>
      <w:r>
        <w:rPr>
          <w:rStyle w:val="Zkladntext"/>
        </w:rPr>
        <w:t>Výši nájemného za užívání předmětu nájmu je pronajímatel oprávněn jednostranně up</w:t>
      </w:r>
      <w:r>
        <w:rPr>
          <w:rStyle w:val="Zkladntext"/>
        </w:rPr>
        <w:t>ravovat, dosáhne-li průměrná meziroční míra inflace české koruny vyhlašovaná Českým statistickým úřa</w:t>
      </w:r>
      <w:r>
        <w:rPr>
          <w:rStyle w:val="Zkladntext"/>
        </w:rPr>
        <w:softHyphen/>
        <w:t>dem minimálně 1 %. K navýšení může dojít pouze jednou ročně k 1. 7. příslušného kalendářního roku. Nájemce se zavazuje jednostranné zvýšení nájemného ve sm</w:t>
      </w:r>
      <w:r>
        <w:rPr>
          <w:rStyle w:val="Zkladntext"/>
        </w:rPr>
        <w:t>yslu tohoto odstavce, které mu je písemně oznámeno nejpozději do 15. 6. příslušného kalendářního roku, akceptovat.</w:t>
      </w:r>
    </w:p>
    <w:p w14:paraId="24F0B5C8" w14:textId="77777777" w:rsidR="00ED5251" w:rsidRDefault="00ED5251">
      <w:pPr>
        <w:pStyle w:val="Nadpis40"/>
        <w:keepNext/>
        <w:keepLines/>
        <w:numPr>
          <w:ilvl w:val="0"/>
          <w:numId w:val="5"/>
        </w:numPr>
      </w:pPr>
      <w:bookmarkStart w:id="9" w:name="bookmark18"/>
      <w:bookmarkEnd w:id="9"/>
    </w:p>
    <w:p w14:paraId="417A7201" w14:textId="77777777" w:rsidR="00ED5251" w:rsidRDefault="003725E4">
      <w:pPr>
        <w:pStyle w:val="Zkladntext1"/>
        <w:numPr>
          <w:ilvl w:val="0"/>
          <w:numId w:val="6"/>
        </w:numPr>
        <w:tabs>
          <w:tab w:val="left" w:pos="380"/>
        </w:tabs>
        <w:spacing w:after="120"/>
        <w:ind w:left="440" w:hanging="440"/>
        <w:jc w:val="both"/>
      </w:pPr>
      <w:r>
        <w:rPr>
          <w:rStyle w:val="Zkladntext"/>
        </w:rPr>
        <w:t>S uzavřením tohoto dodatku č. 1 vyslovila souhlas Rada Ústeckého kraje usnesením č. 130/12R/2025 ze dne 14.04.2025.</w:t>
      </w:r>
    </w:p>
    <w:p w14:paraId="11745A9F" w14:textId="77777777" w:rsidR="00ED5251" w:rsidRDefault="003725E4">
      <w:pPr>
        <w:pStyle w:val="Zkladntext1"/>
        <w:numPr>
          <w:ilvl w:val="0"/>
          <w:numId w:val="6"/>
        </w:numPr>
        <w:tabs>
          <w:tab w:val="left" w:pos="380"/>
        </w:tabs>
        <w:jc w:val="both"/>
      </w:pPr>
      <w:r>
        <w:rPr>
          <w:rStyle w:val="Zkladntext"/>
        </w:rPr>
        <w:t xml:space="preserve">Ostatní </w:t>
      </w:r>
      <w:r>
        <w:rPr>
          <w:rStyle w:val="Zkladntext"/>
        </w:rPr>
        <w:t>ustanovení předmětné Smlouvy o nájmu věci nemovité zůstávají nedotčena.</w:t>
      </w:r>
      <w:r>
        <w:br w:type="page"/>
      </w:r>
    </w:p>
    <w:p w14:paraId="37C53977" w14:textId="77777777" w:rsidR="00ED5251" w:rsidRDefault="003725E4">
      <w:pPr>
        <w:pStyle w:val="Zkladntext1"/>
        <w:numPr>
          <w:ilvl w:val="0"/>
          <w:numId w:val="6"/>
        </w:numPr>
        <w:tabs>
          <w:tab w:val="left" w:pos="398"/>
        </w:tabs>
        <w:spacing w:after="120"/>
        <w:ind w:left="440" w:hanging="440"/>
        <w:jc w:val="both"/>
      </w:pPr>
      <w:r>
        <w:rPr>
          <w:rStyle w:val="Zkladntext"/>
        </w:rPr>
        <w:lastRenderedPageBreak/>
        <w:t xml:space="preserve">Tento dodatek č. 1 je vyhotoven ve 4 </w:t>
      </w:r>
      <w:proofErr w:type="spellStart"/>
      <w:r>
        <w:rPr>
          <w:rStyle w:val="Zkladntext"/>
        </w:rPr>
        <w:t>paré</w:t>
      </w:r>
      <w:proofErr w:type="spellEnd"/>
      <w:r>
        <w:rPr>
          <w:rStyle w:val="Zkladntext"/>
        </w:rPr>
        <w:t xml:space="preserve"> s platností originálu, přičemž každá ze smluvních stran obdrží 2 vyhotovení.</w:t>
      </w:r>
    </w:p>
    <w:p w14:paraId="243A4A72" w14:textId="77777777" w:rsidR="00ED5251" w:rsidRDefault="003725E4">
      <w:pPr>
        <w:pStyle w:val="Zkladntext1"/>
        <w:numPr>
          <w:ilvl w:val="0"/>
          <w:numId w:val="6"/>
        </w:numPr>
        <w:tabs>
          <w:tab w:val="left" w:pos="398"/>
        </w:tabs>
        <w:spacing w:after="420"/>
        <w:ind w:left="440" w:hanging="440"/>
        <w:jc w:val="both"/>
      </w:pPr>
      <w:r>
        <w:rPr>
          <w:rStyle w:val="Zkladntext"/>
        </w:rPr>
        <w:t>Tento dodatek č. 1 bude v úplném znění uveřejněn prostřednictvím</w:t>
      </w:r>
      <w:r>
        <w:rPr>
          <w:rStyle w:val="Zkladntext"/>
        </w:rPr>
        <w:t xml:space="preserve"> registru smluv postupem dle zákona č. 340/2015 Sb., o zvláštních podmínkách účinnosti některých smluv, uveřejňování těchto smluv a o registru smluv (zákon o registru smluv), ve znění pozdějších předpisů. Pronajímatel pro</w:t>
      </w:r>
      <w:r>
        <w:rPr>
          <w:rStyle w:val="Zkladntext"/>
        </w:rPr>
        <w:softHyphen/>
        <w:t>hlašuje, že souhlasí s uveřejněním</w:t>
      </w:r>
      <w:r>
        <w:rPr>
          <w:rStyle w:val="Zkladntext"/>
        </w:rPr>
        <w:t xml:space="preserve"> svých osobních údajů obsažených v této smlouvě, které by jinak podléhaly znečitelnění, v registru smluv, popř. disponuje souhlasem třetích osob uvedených na své straně s uveřejněním jejich osobních údajů v registru smluv, které by jinak podléhaly </w:t>
      </w:r>
      <w:proofErr w:type="spellStart"/>
      <w:proofErr w:type="gramStart"/>
      <w:r>
        <w:rPr>
          <w:rStyle w:val="Zkladntext"/>
        </w:rPr>
        <w:t>zne</w:t>
      </w:r>
      <w:proofErr w:type="spellEnd"/>
      <w:r>
        <w:rPr>
          <w:rStyle w:val="Zkladntext"/>
        </w:rPr>
        <w:t xml:space="preserve">- </w:t>
      </w:r>
      <w:proofErr w:type="spellStart"/>
      <w:r>
        <w:rPr>
          <w:rStyle w:val="Zkladntext"/>
        </w:rPr>
        <w:t>čit</w:t>
      </w:r>
      <w:r>
        <w:rPr>
          <w:rStyle w:val="Zkladntext"/>
        </w:rPr>
        <w:t>elnění</w:t>
      </w:r>
      <w:proofErr w:type="spellEnd"/>
      <w:proofErr w:type="gramEnd"/>
      <w:r>
        <w:rPr>
          <w:rStyle w:val="Zkladntext"/>
        </w:rPr>
        <w:t>. Smluvní strany se dohodly na tom, že uveřejnění v registru smluv provede nájemce, který zároveň zajistí, aby informace o uveřejnění této smlouvy byla zaslána pronajímateli do da</w:t>
      </w:r>
      <w:r>
        <w:rPr>
          <w:rStyle w:val="Zkladntext"/>
        </w:rPr>
        <w:softHyphen/>
        <w:t>tové schránky ID ep3gkk9. Dodatek č. 1 nabývá platnosti dnem jeho uzav</w:t>
      </w:r>
      <w:r>
        <w:rPr>
          <w:rStyle w:val="Zkladntext"/>
        </w:rPr>
        <w:t>ření a účinnosti dnem uveřejnění v registru smluv.</w:t>
      </w:r>
    </w:p>
    <w:p w14:paraId="6B46C470" w14:textId="77777777" w:rsidR="00ED5251" w:rsidRDefault="00ED5251">
      <w:pPr>
        <w:pStyle w:val="Nadpis40"/>
        <w:keepNext/>
        <w:keepLines/>
        <w:numPr>
          <w:ilvl w:val="0"/>
          <w:numId w:val="5"/>
        </w:numPr>
      </w:pPr>
      <w:bookmarkStart w:id="10" w:name="bookmark20"/>
      <w:bookmarkEnd w:id="10"/>
    </w:p>
    <w:p w14:paraId="14EAF267" w14:textId="77777777" w:rsidR="00ED5251" w:rsidRDefault="003725E4">
      <w:pPr>
        <w:pStyle w:val="Zkladntext1"/>
        <w:spacing w:after="0"/>
        <w:jc w:val="both"/>
        <w:sectPr w:rsidR="00ED5251">
          <w:footerReference w:type="default" r:id="rId9"/>
          <w:pgSz w:w="11900" w:h="16840"/>
          <w:pgMar w:top="814" w:right="1075" w:bottom="2262" w:left="1085" w:header="386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Pronajímatel i nájemce shodně prohlašují, že si tento dodatek č. 1 před jeho podpisem přečetli, že byl uzavřen po </w:t>
      </w:r>
      <w:r>
        <w:rPr>
          <w:rStyle w:val="Zkladntext"/>
        </w:rPr>
        <w:t>vzájemném projednání podle jejich pravé a svobodné vůle, určitě, vážně a srozumi</w:t>
      </w:r>
      <w:r>
        <w:rPr>
          <w:rStyle w:val="Zkladntext"/>
        </w:rPr>
        <w:softHyphen/>
        <w:t>telně, bez zneužití tísně, nezkušenosti, rozumové slabosti, rozrušení nebo lehkomyslnosti druhé strany, na důkaz čehož připojují své podpisy.</w:t>
      </w:r>
    </w:p>
    <w:p w14:paraId="14621AAF" w14:textId="77777777" w:rsidR="00ED5251" w:rsidRDefault="00ED5251">
      <w:pPr>
        <w:spacing w:line="240" w:lineRule="exact"/>
        <w:rPr>
          <w:sz w:val="19"/>
          <w:szCs w:val="19"/>
        </w:rPr>
      </w:pPr>
    </w:p>
    <w:p w14:paraId="12A66712" w14:textId="77777777" w:rsidR="00ED5251" w:rsidRDefault="00ED5251">
      <w:pPr>
        <w:spacing w:line="240" w:lineRule="exact"/>
        <w:rPr>
          <w:sz w:val="19"/>
          <w:szCs w:val="19"/>
        </w:rPr>
      </w:pPr>
    </w:p>
    <w:p w14:paraId="14CCD98F" w14:textId="77777777" w:rsidR="00ED5251" w:rsidRDefault="00ED5251">
      <w:pPr>
        <w:spacing w:line="240" w:lineRule="exact"/>
        <w:rPr>
          <w:sz w:val="19"/>
          <w:szCs w:val="19"/>
        </w:rPr>
      </w:pPr>
    </w:p>
    <w:p w14:paraId="11C30963" w14:textId="77777777" w:rsidR="00ED5251" w:rsidRDefault="00ED5251">
      <w:pPr>
        <w:spacing w:line="240" w:lineRule="exact"/>
        <w:rPr>
          <w:sz w:val="19"/>
          <w:szCs w:val="19"/>
        </w:rPr>
      </w:pPr>
    </w:p>
    <w:p w14:paraId="024BC48E" w14:textId="77777777" w:rsidR="00ED5251" w:rsidRDefault="00ED5251">
      <w:pPr>
        <w:spacing w:before="6" w:after="6" w:line="240" w:lineRule="exact"/>
        <w:rPr>
          <w:sz w:val="19"/>
          <w:szCs w:val="19"/>
        </w:rPr>
      </w:pPr>
    </w:p>
    <w:p w14:paraId="2FC027CC" w14:textId="77777777" w:rsidR="00ED5251" w:rsidRDefault="00ED5251">
      <w:pPr>
        <w:spacing w:line="1" w:lineRule="exact"/>
        <w:sectPr w:rsidR="00ED5251">
          <w:type w:val="continuous"/>
          <w:pgSz w:w="11900" w:h="16840"/>
          <w:pgMar w:top="1450" w:right="0" w:bottom="6376" w:left="0" w:header="0" w:footer="3" w:gutter="0"/>
          <w:cols w:space="720"/>
          <w:noEndnote/>
          <w:docGrid w:linePitch="360"/>
        </w:sectPr>
      </w:pPr>
    </w:p>
    <w:p w14:paraId="79C37707" w14:textId="77777777" w:rsidR="00ED5251" w:rsidRDefault="003725E4">
      <w:pPr>
        <w:pStyle w:val="Zkladntext1"/>
        <w:spacing w:after="0"/>
      </w:pPr>
      <w:r>
        <w:rPr>
          <w:rStyle w:val="Zkladntext"/>
        </w:rPr>
        <w:t>V L</w:t>
      </w:r>
      <w:r>
        <w:rPr>
          <w:rStyle w:val="Zkladntext"/>
        </w:rPr>
        <w:t>itoměřicích dne ……………………</w:t>
      </w:r>
    </w:p>
    <w:p w14:paraId="5ABA480B" w14:textId="77777777" w:rsidR="00ED5251" w:rsidRDefault="003725E4">
      <w:pPr>
        <w:pStyle w:val="Zkladntext1"/>
        <w:spacing w:after="0"/>
        <w:sectPr w:rsidR="00ED5251">
          <w:type w:val="continuous"/>
          <w:pgSz w:w="11900" w:h="16840"/>
          <w:pgMar w:top="1450" w:right="2463" w:bottom="6376" w:left="1215" w:header="0" w:footer="3" w:gutter="0"/>
          <w:cols w:num="2" w:space="994"/>
          <w:noEndnote/>
          <w:docGrid w:linePitch="360"/>
        </w:sectPr>
      </w:pPr>
      <w:r>
        <w:rPr>
          <w:rStyle w:val="Zkladntext"/>
        </w:rPr>
        <w:t>V Litoměřicích dne ………………</w:t>
      </w:r>
      <w:proofErr w:type="gramStart"/>
      <w:r>
        <w:rPr>
          <w:rStyle w:val="Zkladntext"/>
        </w:rPr>
        <w:t>…….</w:t>
      </w:r>
      <w:proofErr w:type="gramEnd"/>
      <w:r>
        <w:rPr>
          <w:rStyle w:val="Zkladntext"/>
        </w:rPr>
        <w:t>.</w:t>
      </w:r>
    </w:p>
    <w:p w14:paraId="376ABB9E" w14:textId="77777777" w:rsidR="00ED5251" w:rsidRDefault="00ED5251">
      <w:pPr>
        <w:spacing w:line="240" w:lineRule="exact"/>
        <w:rPr>
          <w:sz w:val="19"/>
          <w:szCs w:val="19"/>
        </w:rPr>
      </w:pPr>
    </w:p>
    <w:p w14:paraId="14AC6C46" w14:textId="77777777" w:rsidR="00ED5251" w:rsidRDefault="00ED5251">
      <w:pPr>
        <w:spacing w:line="240" w:lineRule="exact"/>
        <w:rPr>
          <w:sz w:val="19"/>
          <w:szCs w:val="19"/>
        </w:rPr>
      </w:pPr>
    </w:p>
    <w:p w14:paraId="35C28509" w14:textId="77777777" w:rsidR="00ED5251" w:rsidRDefault="00ED5251">
      <w:pPr>
        <w:spacing w:line="240" w:lineRule="exact"/>
        <w:rPr>
          <w:sz w:val="19"/>
          <w:szCs w:val="19"/>
        </w:rPr>
      </w:pPr>
    </w:p>
    <w:p w14:paraId="02766850" w14:textId="77777777" w:rsidR="00ED5251" w:rsidRDefault="00ED5251">
      <w:pPr>
        <w:spacing w:line="240" w:lineRule="exact"/>
        <w:rPr>
          <w:sz w:val="19"/>
          <w:szCs w:val="19"/>
        </w:rPr>
      </w:pPr>
    </w:p>
    <w:p w14:paraId="138C87D4" w14:textId="77777777" w:rsidR="00ED5251" w:rsidRDefault="00ED5251">
      <w:pPr>
        <w:spacing w:before="36" w:after="36" w:line="240" w:lineRule="exact"/>
        <w:rPr>
          <w:sz w:val="19"/>
          <w:szCs w:val="19"/>
        </w:rPr>
      </w:pPr>
    </w:p>
    <w:p w14:paraId="11437D6D" w14:textId="77777777" w:rsidR="00ED5251" w:rsidRDefault="00ED5251">
      <w:pPr>
        <w:spacing w:line="1" w:lineRule="exact"/>
        <w:sectPr w:rsidR="00ED5251">
          <w:type w:val="continuous"/>
          <w:pgSz w:w="11900" w:h="16840"/>
          <w:pgMar w:top="1450" w:right="0" w:bottom="1450" w:left="0" w:header="0" w:footer="3" w:gutter="0"/>
          <w:cols w:space="720"/>
          <w:noEndnote/>
          <w:docGrid w:linePitch="360"/>
        </w:sectPr>
      </w:pPr>
    </w:p>
    <w:p w14:paraId="652F8BEC" w14:textId="77777777" w:rsidR="00ED5251" w:rsidRDefault="003725E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C558319" wp14:editId="679331CB">
                <wp:simplePos x="0" y="0"/>
                <wp:positionH relativeFrom="page">
                  <wp:posOffset>774700</wp:posOffset>
                </wp:positionH>
                <wp:positionV relativeFrom="paragraph">
                  <wp:posOffset>12700</wp:posOffset>
                </wp:positionV>
                <wp:extent cx="2103120" cy="4756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0047A2" w14:textId="77777777" w:rsidR="00ED5251" w:rsidRDefault="003725E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Pronajímatel</w:t>
                            </w:r>
                          </w:p>
                          <w:p w14:paraId="01C8BE37" w14:textId="77777777" w:rsidR="00ED5251" w:rsidRDefault="003725E4">
                            <w:pPr>
                              <w:pStyle w:val="Zkladntext1"/>
                              <w:spacing w:after="0" w:line="233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TD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invest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, a.s.</w:t>
                            </w:r>
                          </w:p>
                          <w:p w14:paraId="0D35E57A" w14:textId="77777777" w:rsidR="00ED5251" w:rsidRDefault="003725E4">
                            <w:pPr>
                              <w:pStyle w:val="Zkladntext1"/>
                              <w:spacing w:after="0" w:line="233" w:lineRule="auto"/>
                            </w:pPr>
                            <w:r>
                              <w:rPr>
                                <w:rStyle w:val="Zkladntext"/>
                              </w:rPr>
                              <w:t>Ing. Jan Tyl, na základě plné moci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55831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1pt;margin-top:1pt;width:165.6pt;height:37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" filled="f" stroked="f">
                <v:textbox inset="0,0,0,0">
                  <w:txbxContent>
                    <w:p w14:paraId="0C0047A2" w14:textId="77777777" w:rsidR="00ED5251" w:rsidRDefault="003725E4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Pronajímatel</w:t>
                      </w:r>
                    </w:p>
                    <w:p w14:paraId="01C8BE37" w14:textId="77777777" w:rsidR="00ED5251" w:rsidRDefault="003725E4">
                      <w:pPr>
                        <w:pStyle w:val="Zkladntext1"/>
                        <w:spacing w:after="0" w:line="233" w:lineRule="auto"/>
                      </w:pPr>
                      <w:r>
                        <w:rPr>
                          <w:rStyle w:val="Zkladntext"/>
                        </w:rPr>
                        <w:t xml:space="preserve">TD </w:t>
                      </w:r>
                      <w:proofErr w:type="spellStart"/>
                      <w:r>
                        <w:rPr>
                          <w:rStyle w:val="Zkladntext"/>
                        </w:rPr>
                        <w:t>invest</w:t>
                      </w:r>
                      <w:proofErr w:type="spellEnd"/>
                      <w:r>
                        <w:rPr>
                          <w:rStyle w:val="Zkladntext"/>
                        </w:rPr>
                        <w:t>, a.s.</w:t>
                      </w:r>
                    </w:p>
                    <w:p w14:paraId="0D35E57A" w14:textId="77777777" w:rsidR="00ED5251" w:rsidRDefault="003725E4">
                      <w:pPr>
                        <w:pStyle w:val="Zkladntext1"/>
                        <w:spacing w:after="0" w:line="233" w:lineRule="auto"/>
                      </w:pPr>
                      <w:r>
                        <w:rPr>
                          <w:rStyle w:val="Zkladntext"/>
                        </w:rPr>
                        <w:t>Ing. Jan Tyl, na základě plné moci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17C7F4" w14:textId="77777777" w:rsidR="00ED5251" w:rsidRDefault="003725E4">
      <w:pPr>
        <w:pStyle w:val="Zkladntext1"/>
        <w:spacing w:after="0"/>
        <w:ind w:left="1320"/>
        <w:jc w:val="both"/>
      </w:pPr>
      <w:r>
        <w:rPr>
          <w:rStyle w:val="Zkladntext"/>
        </w:rPr>
        <w:t>Nájemce</w:t>
      </w:r>
    </w:p>
    <w:p w14:paraId="675ED912" w14:textId="77777777" w:rsidR="00ED5251" w:rsidRDefault="003725E4">
      <w:pPr>
        <w:pStyle w:val="Zkladntext1"/>
        <w:spacing w:after="0" w:line="233" w:lineRule="auto"/>
        <w:ind w:left="1320"/>
      </w:pPr>
      <w:r>
        <w:rPr>
          <w:rStyle w:val="Zkladntext"/>
        </w:rPr>
        <w:t>Gymnázium Josefa Jungmanna, Litoměřice,</w:t>
      </w:r>
    </w:p>
    <w:p w14:paraId="3CBA6413" w14:textId="77777777" w:rsidR="00ED5251" w:rsidRDefault="003725E4">
      <w:pPr>
        <w:pStyle w:val="Zkladntext1"/>
        <w:spacing w:after="0" w:line="233" w:lineRule="auto"/>
        <w:ind w:left="1320"/>
      </w:pPr>
      <w:r>
        <w:rPr>
          <w:rStyle w:val="Zkladntext"/>
        </w:rPr>
        <w:t xml:space="preserve">Svojsíkova 1, </w:t>
      </w:r>
      <w:r>
        <w:rPr>
          <w:rStyle w:val="Zkladntext"/>
        </w:rPr>
        <w:t>příspěvková organizace</w:t>
      </w:r>
    </w:p>
    <w:p w14:paraId="559E1341" w14:textId="77777777" w:rsidR="00ED5251" w:rsidRDefault="003725E4">
      <w:pPr>
        <w:pStyle w:val="Zkladntext1"/>
        <w:spacing w:after="0" w:line="233" w:lineRule="auto"/>
        <w:ind w:left="1320"/>
      </w:pPr>
      <w:r>
        <w:rPr>
          <w:rStyle w:val="Zkladntext"/>
        </w:rPr>
        <w:t>RNDr. Bc. Radka Balounová, Ph.D., ředitelka</w:t>
      </w:r>
    </w:p>
    <w:sectPr w:rsidR="00ED5251">
      <w:type w:val="continuous"/>
      <w:pgSz w:w="11900" w:h="16840"/>
      <w:pgMar w:top="1450" w:right="1105" w:bottom="1450" w:left="45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0B05" w14:textId="77777777" w:rsidR="00000000" w:rsidRDefault="003725E4">
      <w:r>
        <w:separator/>
      </w:r>
    </w:p>
  </w:endnote>
  <w:endnote w:type="continuationSeparator" w:id="0">
    <w:p w14:paraId="5EA1230B" w14:textId="77777777" w:rsidR="00000000" w:rsidRDefault="0037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15B3" w14:textId="77777777" w:rsidR="00ED5251" w:rsidRDefault="003725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9A67FF" wp14:editId="2794A164">
              <wp:simplePos x="0" y="0"/>
              <wp:positionH relativeFrom="page">
                <wp:posOffset>734695</wp:posOffset>
              </wp:positionH>
              <wp:positionV relativeFrom="page">
                <wp:posOffset>10135870</wp:posOffset>
              </wp:positionV>
              <wp:extent cx="308165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46482" w14:textId="77777777" w:rsidR="00ED5251" w:rsidRDefault="003725E4">
                          <w:pPr>
                            <w:pStyle w:val="Zhlavnebozpat20"/>
                            <w:tabs>
                              <w:tab w:val="right" w:pos="4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t>Kub.</w:t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A67FF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7.85pt;margin-top:798.1pt;width:242.65pt;height: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" filled="f" stroked="f">
              <v:textbox style="mso-fit-shape-to-text:t" inset="0,0,0,0">
                <w:txbxContent>
                  <w:p w14:paraId="1EE46482" w14:textId="77777777" w:rsidR="00ED5251" w:rsidRDefault="003725E4">
                    <w:pPr>
                      <w:pStyle w:val="Zhlavnebozpat20"/>
                      <w:tabs>
                        <w:tab w:val="right" w:pos="485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t>Kub.</w:t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1F2D" w14:textId="77777777" w:rsidR="00ED5251" w:rsidRDefault="00ED5251"/>
  </w:footnote>
  <w:footnote w:type="continuationSeparator" w:id="0">
    <w:p w14:paraId="3B756047" w14:textId="77777777" w:rsidR="00ED5251" w:rsidRDefault="00ED52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430"/>
    <w:multiLevelType w:val="multilevel"/>
    <w:tmpl w:val="571AD106"/>
    <w:lvl w:ilvl="0">
      <w:start w:val="3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9500B"/>
    <w:multiLevelType w:val="multilevel"/>
    <w:tmpl w:val="FF82C99E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A441B6"/>
    <w:multiLevelType w:val="multilevel"/>
    <w:tmpl w:val="63D2FD8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2650DD"/>
    <w:multiLevelType w:val="multilevel"/>
    <w:tmpl w:val="D7C077F4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C6742A"/>
    <w:multiLevelType w:val="multilevel"/>
    <w:tmpl w:val="77103448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8E4438"/>
    <w:multiLevelType w:val="multilevel"/>
    <w:tmpl w:val="9788B3F6"/>
    <w:lvl w:ilvl="0">
      <w:start w:val="2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51"/>
    <w:rsid w:val="003725E4"/>
    <w:rsid w:val="00E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9A9C"/>
  <w15:docId w15:val="{04C87F89-FEAE-4C56-B6A2-11BB2911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DFF"/>
      <w:sz w:val="52"/>
      <w:szCs w:val="5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DFF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after="200"/>
      <w:outlineLvl w:val="0"/>
    </w:pPr>
    <w:rPr>
      <w:rFonts w:ascii="Arial" w:eastAsia="Arial" w:hAnsi="Arial" w:cs="Arial"/>
      <w:color w:val="000DFF"/>
      <w:sz w:val="52"/>
      <w:szCs w:val="5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540"/>
      <w:outlineLvl w:val="1"/>
    </w:pPr>
    <w:rPr>
      <w:rFonts w:ascii="Century Gothic" w:eastAsia="Century Gothic" w:hAnsi="Century Gothic" w:cs="Century Gothic"/>
      <w:b/>
      <w:bCs/>
      <w:color w:val="000DFF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40"/>
      <w:jc w:val="center"/>
      <w:outlineLvl w:val="2"/>
    </w:pPr>
    <w:rPr>
      <w:rFonts w:ascii="Century Gothic" w:eastAsia="Century Gothic" w:hAnsi="Century Gothic" w:cs="Century Gothic"/>
      <w:b/>
      <w:bCs/>
    </w:rPr>
  </w:style>
  <w:style w:type="paragraph" w:customStyle="1" w:styleId="Titulektabulky0">
    <w:name w:val="Titulek tabulky"/>
    <w:basedOn w:val="Normln"/>
    <w:link w:val="Titulektabulky"/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240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120"/>
      <w:jc w:val="center"/>
      <w:outlineLvl w:val="3"/>
    </w:pPr>
    <w:rPr>
      <w:rFonts w:ascii="Century Gothic" w:eastAsia="Century Gothic" w:hAnsi="Century Gothic" w:cs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gj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l@ch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4402</Characters>
  <Application>Microsoft Office Word</Application>
  <DocSecurity>4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 Iveta</dc:creator>
  <cp:keywords/>
  <cp:lastModifiedBy>Hana Suchá</cp:lastModifiedBy>
  <cp:revision>2</cp:revision>
  <dcterms:created xsi:type="dcterms:W3CDTF">2025-05-05T09:16:00Z</dcterms:created>
  <dcterms:modified xsi:type="dcterms:W3CDTF">2025-05-05T09:16:00Z</dcterms:modified>
</cp:coreProperties>
</file>