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5211200347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line="265" w:lineRule="exact" w:before="187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Fakultní</w:t>
      </w:r>
      <w:r>
        <w:rPr>
          <w:spacing w:val="-8"/>
        </w:rPr>
        <w:t> </w:t>
      </w:r>
      <w:r>
        <w:rPr/>
        <w:t>nemocnice</w:t>
      </w:r>
      <w:r>
        <w:rPr>
          <w:spacing w:val="-7"/>
        </w:rPr>
        <w:t> </w:t>
      </w:r>
      <w:r>
        <w:rPr>
          <w:spacing w:val="-2"/>
        </w:rPr>
        <w:t>Olomouc</w:t>
      </w:r>
    </w:p>
    <w:p>
      <w:pPr>
        <w:pStyle w:val="BodyText"/>
        <w:ind w:left="382"/>
      </w:pPr>
      <w:r>
        <w:rPr/>
        <w:t>státní</w:t>
      </w:r>
      <w:r>
        <w:rPr>
          <w:spacing w:val="-9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57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Zdravotníků</w:t>
      </w:r>
      <w:r>
        <w:rPr>
          <w:spacing w:val="-6"/>
        </w:rPr>
        <w:t> </w:t>
      </w:r>
      <w:r>
        <w:rPr/>
        <w:t>248/7,</w:t>
      </w:r>
      <w:r>
        <w:rPr>
          <w:spacing w:val="-4"/>
        </w:rPr>
        <w:t> </w:t>
      </w:r>
      <w:r>
        <w:rPr/>
        <w:t>Nová</w:t>
      </w:r>
      <w:r>
        <w:rPr>
          <w:spacing w:val="-5"/>
        </w:rPr>
        <w:t> </w:t>
      </w:r>
      <w:r>
        <w:rPr/>
        <w:t>Ulice,</w:t>
      </w:r>
      <w:r>
        <w:rPr>
          <w:spacing w:val="-6"/>
        </w:rPr>
        <w:t> </w:t>
      </w:r>
      <w:r>
        <w:rPr/>
        <w:t>779</w:t>
      </w:r>
      <w:r>
        <w:rPr>
          <w:spacing w:val="-3"/>
        </w:rPr>
        <w:t> </w:t>
      </w:r>
      <w:r>
        <w:rPr/>
        <w:t>00</w:t>
      </w:r>
      <w:r>
        <w:rPr>
          <w:spacing w:val="-5"/>
        </w:rPr>
        <w:t> </w:t>
      </w:r>
      <w:r>
        <w:rPr>
          <w:spacing w:val="-2"/>
        </w:rPr>
        <w:t>Olomouc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00098892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prof.</w:t>
      </w:r>
      <w:r>
        <w:rPr>
          <w:spacing w:val="-3"/>
        </w:rPr>
        <w:t> </w:t>
      </w:r>
      <w:r>
        <w:rPr/>
        <w:t>MUDr.</w:t>
      </w:r>
      <w:r>
        <w:rPr>
          <w:spacing w:val="-3"/>
        </w:rPr>
        <w:t> </w:t>
      </w:r>
      <w:r>
        <w:rPr/>
        <w:t>Romanem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a v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í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Ph.D.,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43-</w:t>
      </w:r>
      <w:r>
        <w:rPr>
          <w:spacing w:val="-2"/>
        </w:rPr>
        <w:t>36334811/0710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5211200347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17" w:right="0"/>
        <w:jc w:val="both"/>
      </w:pPr>
      <w:r>
        <w:rPr/>
        <w:t>„Zateplení</w:t>
      </w:r>
      <w:r>
        <w:rPr>
          <w:spacing w:val="-8"/>
        </w:rPr>
        <w:t> </w:t>
      </w:r>
      <w:r>
        <w:rPr/>
        <w:t>ubytoven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Dětské</w:t>
      </w:r>
      <w:r>
        <w:rPr>
          <w:spacing w:val="-8"/>
        </w:rPr>
        <w:t> </w:t>
      </w:r>
      <w:r>
        <w:rPr/>
        <w:t>kliniky</w:t>
      </w:r>
      <w:r>
        <w:rPr>
          <w:spacing w:val="-5"/>
        </w:rPr>
        <w:t> </w:t>
      </w:r>
      <w:r>
        <w:rPr>
          <w:spacing w:val="-4"/>
        </w:rPr>
        <w:t>FNOL“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kombinovaná.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34"/>
          <w:sz w:val="20"/>
        </w:rPr>
        <w:t> </w:t>
      </w:r>
      <w:r>
        <w:rPr>
          <w:sz w:val="20"/>
        </w:rPr>
        <w:t>je</w:t>
      </w:r>
      <w:r>
        <w:rPr>
          <w:spacing w:val="33"/>
          <w:sz w:val="20"/>
        </w:rPr>
        <w:t> </w:t>
      </w:r>
      <w:r>
        <w:rPr>
          <w:sz w:val="20"/>
        </w:rPr>
        <w:t>poskytována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režimu</w:t>
      </w:r>
      <w:r>
        <w:rPr>
          <w:spacing w:val="34"/>
          <w:sz w:val="20"/>
        </w:rPr>
        <w:t> </w:t>
      </w:r>
      <w:r>
        <w:rPr>
          <w:sz w:val="20"/>
        </w:rPr>
        <w:t>vyrovnávací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6"/>
          <w:sz w:val="20"/>
        </w:rPr>
        <w:t> </w:t>
      </w:r>
      <w:r>
        <w:rPr>
          <w:sz w:val="20"/>
        </w:rPr>
        <w:t>za</w:t>
      </w:r>
      <w:r>
        <w:rPr>
          <w:spacing w:val="34"/>
          <w:sz w:val="20"/>
        </w:rPr>
        <w:t> </w:t>
      </w:r>
      <w:r>
        <w:rPr>
          <w:sz w:val="20"/>
        </w:rPr>
        <w:t>závazek</w:t>
      </w:r>
      <w:r>
        <w:rPr>
          <w:spacing w:val="34"/>
          <w:sz w:val="20"/>
        </w:rPr>
        <w:t> </w:t>
      </w:r>
      <w:r>
        <w:rPr>
          <w:sz w:val="20"/>
        </w:rPr>
        <w:t>veřejné</w:t>
      </w:r>
      <w:r>
        <w:rPr>
          <w:spacing w:val="33"/>
          <w:sz w:val="20"/>
        </w:rPr>
        <w:t> </w:t>
      </w:r>
      <w:r>
        <w:rPr>
          <w:sz w:val="20"/>
        </w:rPr>
        <w:t>služby,</w:t>
      </w:r>
      <w:r>
        <w:rPr>
          <w:spacing w:val="34"/>
          <w:sz w:val="20"/>
        </w:rPr>
        <w:t> </w:t>
      </w:r>
      <w:r>
        <w:rPr>
          <w:sz w:val="20"/>
        </w:rPr>
        <w:t>který</w:t>
      </w:r>
      <w:r>
        <w:rPr>
          <w:spacing w:val="34"/>
          <w:sz w:val="20"/>
        </w:rPr>
        <w:t> </w:t>
      </w:r>
      <w:r>
        <w:rPr>
          <w:sz w:val="20"/>
        </w:rPr>
        <w:t>je</w:t>
      </w:r>
      <w:r>
        <w:rPr>
          <w:spacing w:val="33"/>
          <w:sz w:val="20"/>
        </w:rPr>
        <w:t> </w:t>
      </w:r>
      <w:r>
        <w:rPr>
          <w:sz w:val="20"/>
        </w:rPr>
        <w:t>v souladu s</w:t>
      </w:r>
      <w:r>
        <w:rPr>
          <w:spacing w:val="-5"/>
          <w:sz w:val="20"/>
        </w:rPr>
        <w:t> </w:t>
      </w:r>
      <w:r>
        <w:rPr>
          <w:sz w:val="20"/>
        </w:rPr>
        <w:t>Rozhodnutím</w:t>
      </w:r>
      <w:r>
        <w:rPr>
          <w:spacing w:val="-3"/>
          <w:sz w:val="20"/>
        </w:rPr>
        <w:t> </w:t>
      </w:r>
      <w:r>
        <w:rPr>
          <w:sz w:val="20"/>
        </w:rPr>
        <w:t>Komise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20.</w:t>
      </w:r>
      <w:r>
        <w:rPr>
          <w:spacing w:val="-4"/>
          <w:sz w:val="20"/>
        </w:rPr>
        <w:t> </w:t>
      </w:r>
      <w:r>
        <w:rPr>
          <w:sz w:val="20"/>
        </w:rPr>
        <w:t>12.</w:t>
      </w:r>
      <w:r>
        <w:rPr>
          <w:spacing w:val="-4"/>
          <w:sz w:val="20"/>
        </w:rPr>
        <w:t> </w:t>
      </w:r>
      <w:r>
        <w:rPr>
          <w:sz w:val="20"/>
        </w:rPr>
        <w:t>2011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106</w:t>
      </w:r>
      <w:r>
        <w:rPr>
          <w:spacing w:val="-4"/>
          <w:sz w:val="20"/>
        </w:rPr>
        <w:t> </w:t>
      </w:r>
      <w:r>
        <w:rPr>
          <w:sz w:val="20"/>
        </w:rPr>
        <w:t>odst.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fungování</w:t>
      </w:r>
      <w:r>
        <w:rPr>
          <w:spacing w:val="-5"/>
          <w:sz w:val="20"/>
        </w:rPr>
        <w:t> </w:t>
      </w:r>
      <w:r>
        <w:rPr>
          <w:sz w:val="20"/>
        </w:rPr>
        <w:t>Evropské</w:t>
      </w:r>
      <w:r>
        <w:rPr>
          <w:spacing w:val="-5"/>
          <w:sz w:val="20"/>
        </w:rPr>
        <w:t> </w:t>
      </w:r>
      <w:r>
        <w:rPr>
          <w:sz w:val="20"/>
        </w:rPr>
        <w:t>unie na státní podporu ve formě vyrovnávací platby za závazek veřejné služby udělené určitým podnikům pověřeným poskytováním služeb obecného hospodářského zájmu (č. K(2011) 9380), 2012/21/EU, zveřejněném v Úředním věstníku EU dne 11. 1. 2012.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spacing w:before="1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" w:after="0"/>
        <w:ind w:left="741" w:right="106" w:hanging="360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133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156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106,36 Kč </w:t>
      </w:r>
      <w:r>
        <w:rPr>
          <w:sz w:val="20"/>
        </w:rPr>
        <w:t>(slovy: jedno sto třicet tři milionů jedno sto padesát šest tisíc jedno sto šest korun českých, třicet šest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140</w:t>
      </w:r>
      <w:r>
        <w:rPr>
          <w:spacing w:val="-2"/>
          <w:sz w:val="20"/>
        </w:rPr>
        <w:t> </w:t>
      </w:r>
      <w:r>
        <w:rPr>
          <w:sz w:val="20"/>
        </w:rPr>
        <w:t>164</w:t>
      </w:r>
      <w:r>
        <w:rPr>
          <w:spacing w:val="-2"/>
          <w:sz w:val="20"/>
        </w:rPr>
        <w:t> </w:t>
      </w:r>
      <w:r>
        <w:rPr>
          <w:sz w:val="20"/>
        </w:rPr>
        <w:t>322,49 Kč (z toho částka ve výši 137</w:t>
      </w:r>
      <w:r>
        <w:rPr>
          <w:spacing w:val="-2"/>
          <w:sz w:val="20"/>
        </w:rPr>
        <w:t> </w:t>
      </w:r>
      <w:r>
        <w:rPr>
          <w:sz w:val="20"/>
        </w:rPr>
        <w:t>008</w:t>
      </w:r>
      <w:r>
        <w:rPr>
          <w:spacing w:val="-2"/>
          <w:sz w:val="20"/>
        </w:rPr>
        <w:t> </w:t>
      </w:r>
      <w:r>
        <w:rPr>
          <w:sz w:val="20"/>
        </w:rPr>
        <w:t>948,63</w:t>
      </w:r>
      <w:r>
        <w:rPr>
          <w:spacing w:val="-2"/>
          <w:sz w:val="20"/>
        </w:rPr>
        <w:t> </w:t>
      </w:r>
      <w:r>
        <w:rPr>
          <w:sz w:val="20"/>
        </w:rPr>
        <w:t>Kč odpovídá</w:t>
      </w:r>
      <w:r>
        <w:rPr>
          <w:spacing w:val="-1"/>
          <w:sz w:val="20"/>
        </w:rPr>
        <w:t> </w:t>
      </w:r>
      <w:r>
        <w:rPr>
          <w:sz w:val="20"/>
        </w:rPr>
        <w:t>investičním výdajům a částka ve výši 3 155 373,86 Kč odpovídá neinvestičním výdajům).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ind w:left="74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5005"/>
      </w:tblGrid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50" w:right="1541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5" w:type="dxa"/>
          </w:tcPr>
          <w:p>
            <w:pPr>
              <w:pStyle w:val="TableParagraph"/>
              <w:spacing w:before="120"/>
              <w:ind w:left="1817" w:right="181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50" w:right="15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005" w:type="dxa"/>
          </w:tcPr>
          <w:p>
            <w:pPr>
              <w:pStyle w:val="TableParagraph"/>
              <w:spacing w:before="120"/>
              <w:ind w:left="1820" w:right="1813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156</w:t>
            </w:r>
            <w:r>
              <w:rPr>
                <w:spacing w:val="-2"/>
                <w:sz w:val="20"/>
              </w:rPr>
              <w:t> 106,36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dojde ke snížení energetické náročnosti budovy instalací stínící techniky, fotovoltaického systému, zateplením obvodového pláště, plochých střech, konstrukcí k nevytápěným prostorům a výměnou výplní otvorů,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2"/>
        <w:ind w:left="0"/>
        <w:rPr>
          <w:sz w:val="8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0"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výkon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MWe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0"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0.23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086.54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524.51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908.32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593.18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479.36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056.14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0"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770,16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0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6" w:hanging="286"/>
        <w:jc w:val="both"/>
        <w:rPr>
          <w:sz w:val="20"/>
        </w:rPr>
      </w:pPr>
      <w:r>
        <w:rPr>
          <w:sz w:val="20"/>
        </w:rPr>
        <w:t>zamezí tzv. dvojímu</w:t>
      </w:r>
      <w:r>
        <w:rPr>
          <w:spacing w:val="-1"/>
          <w:sz w:val="20"/>
        </w:rPr>
        <w:t> </w:t>
      </w:r>
      <w:r>
        <w:rPr>
          <w:sz w:val="20"/>
        </w:rPr>
        <w:t>financování, tj. bude zejména postupovat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k) Výzvy, tedy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jinou</w:t>
      </w:r>
      <w:r>
        <w:rPr>
          <w:spacing w:val="-11"/>
          <w:sz w:val="20"/>
        </w:rPr>
        <w:t> </w:t>
      </w:r>
      <w:r>
        <w:rPr>
          <w:sz w:val="20"/>
        </w:rPr>
        <w:t>veřejnou</w:t>
      </w:r>
      <w:r>
        <w:rPr>
          <w:spacing w:val="-14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 107</w:t>
      </w:r>
      <w:r>
        <w:rPr>
          <w:spacing w:val="-7"/>
          <w:sz w:val="20"/>
        </w:rPr>
        <w:t> </w:t>
      </w:r>
      <w:r>
        <w:rPr>
          <w:sz w:val="20"/>
        </w:rPr>
        <w:t>odst.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8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Unie,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 orgány,</w:t>
      </w:r>
      <w:r>
        <w:rPr>
          <w:spacing w:val="-13"/>
          <w:sz w:val="20"/>
        </w:rPr>
        <w:t> </w:t>
      </w:r>
      <w:r>
        <w:rPr>
          <w:sz w:val="20"/>
        </w:rPr>
        <w:t>agentury,</w:t>
      </w:r>
      <w:r>
        <w:rPr>
          <w:spacing w:val="-13"/>
          <w:sz w:val="20"/>
        </w:rPr>
        <w:t> </w:t>
      </w:r>
      <w:r>
        <w:rPr>
          <w:sz w:val="20"/>
        </w:rPr>
        <w:t>společné</w:t>
      </w:r>
      <w:r>
        <w:rPr>
          <w:spacing w:val="-11"/>
          <w:sz w:val="20"/>
        </w:rPr>
        <w:t> </w:t>
      </w:r>
      <w:r>
        <w:rPr>
          <w:sz w:val="20"/>
        </w:rPr>
        <w:t>podniky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přímo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1"/>
          <w:sz w:val="20"/>
        </w:rPr>
        <w:t> </w:t>
      </w:r>
      <w:r>
        <w:rPr>
          <w:sz w:val="20"/>
        </w:rPr>
        <w:t>nepřímo</w:t>
      </w:r>
      <w:r>
        <w:rPr>
          <w:spacing w:val="-12"/>
          <w:sz w:val="20"/>
        </w:rPr>
        <w:t> </w:t>
      </w:r>
      <w:r>
        <w:rPr>
          <w:sz w:val="20"/>
        </w:rPr>
        <w:t>pod</w:t>
      </w:r>
      <w:r>
        <w:rPr>
          <w:spacing w:val="-12"/>
          <w:sz w:val="20"/>
        </w:rPr>
        <w:t> </w:t>
      </w:r>
      <w:r>
        <w:rPr>
          <w:sz w:val="20"/>
        </w:rPr>
        <w:t>kontrolou 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režimu</w:t>
      </w:r>
      <w:r>
        <w:rPr>
          <w:spacing w:val="-5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minimis,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 5 let,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4" w:hanging="286"/>
        <w:jc w:val="both"/>
        <w:rPr>
          <w:sz w:val="20"/>
        </w:rPr>
      </w:pPr>
      <w:r>
        <w:rPr>
          <w:w w:val="95"/>
          <w:sz w:val="20"/>
        </w:rPr>
        <w:t>bude dodržen čl. 12 písm. d) a e) a čl. 13.2 písm. h) Výzvy, tj. realizací projektu nedojde k významnému </w:t>
      </w:r>
      <w:r>
        <w:rPr>
          <w:sz w:val="20"/>
        </w:rPr>
        <w:t>poškození environmentálních cílů v souladu s článkem 17, nařízení Evropského parlamentu a Rady (EU)</w:t>
      </w:r>
      <w:r>
        <w:rPr>
          <w:spacing w:val="-11"/>
          <w:sz w:val="20"/>
        </w:rPr>
        <w:t> </w:t>
      </w:r>
      <w:r>
        <w:rPr>
          <w:sz w:val="20"/>
        </w:rPr>
        <w:t>2020/852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18.</w:t>
      </w:r>
      <w:r>
        <w:rPr>
          <w:spacing w:val="-10"/>
          <w:sz w:val="20"/>
        </w:rPr>
        <w:t> </w:t>
      </w:r>
      <w:r>
        <w:rPr>
          <w:sz w:val="20"/>
        </w:rPr>
        <w:t>června</w:t>
      </w:r>
      <w:r>
        <w:rPr>
          <w:spacing w:val="-11"/>
          <w:sz w:val="20"/>
        </w:rPr>
        <w:t> </w:t>
      </w:r>
      <w:r>
        <w:rPr>
          <w:sz w:val="20"/>
        </w:rPr>
        <w:t>2020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zřízení</w:t>
      </w:r>
      <w:r>
        <w:rPr>
          <w:spacing w:val="-10"/>
          <w:sz w:val="20"/>
        </w:rPr>
        <w:t> </w:t>
      </w:r>
      <w:r>
        <w:rPr>
          <w:sz w:val="20"/>
        </w:rPr>
        <w:t>rámce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usnadnění</w:t>
      </w:r>
      <w:r>
        <w:rPr>
          <w:spacing w:val="-10"/>
          <w:sz w:val="20"/>
        </w:rPr>
        <w:t> </w:t>
      </w:r>
      <w:r>
        <w:rPr>
          <w:sz w:val="20"/>
        </w:rPr>
        <w:t>udržitelných</w:t>
      </w:r>
      <w:r>
        <w:rPr>
          <w:spacing w:val="-10"/>
          <w:sz w:val="20"/>
        </w:rPr>
        <w:t> </w:t>
      </w:r>
      <w:r>
        <w:rPr>
          <w:sz w:val="20"/>
        </w:rPr>
        <w:t>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změně nařízení (EU) 2019/2088,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07/2025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10/2025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  <w:jc w:val="both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5 let, a to v takovém rozsahu (i pokud jde o poskytnutí příslušných dokladů),</w:t>
      </w:r>
      <w:r>
        <w:rPr>
          <w:spacing w:val="-3"/>
          <w:sz w:val="20"/>
        </w:rPr>
        <w:t> </w:t>
      </w:r>
      <w:r>
        <w:rPr>
          <w:sz w:val="20"/>
        </w:rPr>
        <w:t>aby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objasněny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okolnosti,</w:t>
      </w:r>
      <w:r>
        <w:rPr>
          <w:spacing w:val="-4"/>
          <w:sz w:val="20"/>
        </w:rPr>
        <w:t> </w:t>
      </w:r>
      <w:r>
        <w:rPr>
          <w:sz w:val="20"/>
        </w:rPr>
        <w:t>týkající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 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 2021/C 121/01 Pokyny k zabránění střetu zájmů a jeho řešení podle Finančního nařízení a čl. 3 bodu 6 Směrnice Evropského Parlamentu a Rady (EU) 2015/849 o předcházení využívání finančního systému k</w:t>
      </w:r>
      <w:r>
        <w:rPr>
          <w:spacing w:val="23"/>
          <w:sz w:val="20"/>
        </w:rPr>
        <w:t> </w:t>
      </w:r>
      <w:r>
        <w:rPr>
          <w:sz w:val="20"/>
        </w:rPr>
        <w:t>praní</w:t>
      </w:r>
      <w:r>
        <w:rPr>
          <w:spacing w:val="22"/>
          <w:sz w:val="20"/>
        </w:rPr>
        <w:t> </w:t>
      </w:r>
      <w:r>
        <w:rPr>
          <w:sz w:val="20"/>
        </w:rPr>
        <w:t>peněz</w:t>
      </w:r>
      <w:r>
        <w:rPr>
          <w:spacing w:val="23"/>
          <w:sz w:val="20"/>
        </w:rPr>
        <w:t> </w:t>
      </w:r>
      <w:r>
        <w:rPr>
          <w:sz w:val="20"/>
        </w:rPr>
        <w:t>nebo</w:t>
      </w:r>
      <w:r>
        <w:rPr>
          <w:spacing w:val="24"/>
          <w:sz w:val="20"/>
        </w:rPr>
        <w:t> </w:t>
      </w:r>
      <w:r>
        <w:rPr>
          <w:sz w:val="20"/>
        </w:rPr>
        <w:t>financování</w:t>
      </w:r>
      <w:r>
        <w:rPr>
          <w:spacing w:val="23"/>
          <w:sz w:val="20"/>
        </w:rPr>
        <w:t> </w:t>
      </w:r>
      <w:r>
        <w:rPr>
          <w:sz w:val="20"/>
        </w:rPr>
        <w:t>terorismu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ve</w:t>
      </w:r>
      <w:r>
        <w:rPr>
          <w:spacing w:val="23"/>
          <w:sz w:val="20"/>
        </w:rPr>
        <w:t> </w:t>
      </w:r>
      <w:r>
        <w:rPr>
          <w:sz w:val="20"/>
        </w:rPr>
        <w:t>smyslu</w:t>
      </w:r>
      <w:r>
        <w:rPr>
          <w:spacing w:val="23"/>
          <w:sz w:val="20"/>
        </w:rPr>
        <w:t> </w:t>
      </w:r>
      <w:r>
        <w:rPr>
          <w:sz w:val="20"/>
        </w:rPr>
        <w:t>§</w:t>
      </w:r>
      <w:r>
        <w:rPr>
          <w:spacing w:val="23"/>
          <w:sz w:val="20"/>
        </w:rPr>
        <w:t> </w:t>
      </w:r>
      <w:r>
        <w:rPr>
          <w:sz w:val="20"/>
        </w:rPr>
        <w:t>4c</w:t>
      </w:r>
      <w:r>
        <w:rPr>
          <w:spacing w:val="22"/>
          <w:sz w:val="20"/>
        </w:rPr>
        <w:t> </w:t>
      </w:r>
      <w:r>
        <w:rPr>
          <w:sz w:val="20"/>
        </w:rPr>
        <w:t>zákona</w:t>
      </w:r>
      <w:r>
        <w:rPr>
          <w:spacing w:val="23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159/2006</w:t>
      </w:r>
      <w:r>
        <w:rPr>
          <w:spacing w:val="24"/>
          <w:sz w:val="20"/>
        </w:rPr>
        <w:t> </w:t>
      </w:r>
      <w:r>
        <w:rPr>
          <w:sz w:val="20"/>
        </w:rPr>
        <w:t>Sb.,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střetu</w:t>
      </w:r>
      <w:r>
        <w:rPr>
          <w:spacing w:val="23"/>
          <w:sz w:val="20"/>
        </w:rPr>
        <w:t> </w:t>
      </w:r>
      <w:r>
        <w:rPr>
          <w:sz w:val="20"/>
        </w:rPr>
        <w:t>zájmů, v platném znění.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4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4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12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spacing w:before="1"/>
        <w:ind w:left="741"/>
        <w:jc w:val="both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62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00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spacing w:line="266" w:lineRule="exact"/>
        <w:jc w:val="both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8"/>
        </w:rPr>
        <w:t> </w:t>
      </w:r>
      <w:r>
        <w:rPr/>
        <w:t>v 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8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8"/>
        </w:rPr>
        <w:t> </w:t>
      </w:r>
      <w:r>
        <w:rPr/>
        <w:t>akce.</w:t>
      </w:r>
      <w:r>
        <w:rPr>
          <w:spacing w:val="13"/>
        </w:rPr>
        <w:t> </w:t>
      </w:r>
      <w:r>
        <w:rPr/>
        <w:t>Plnění</w:t>
      </w:r>
      <w:r>
        <w:rPr>
          <w:spacing w:val="9"/>
        </w:rPr>
        <w:t> </w:t>
      </w:r>
      <w:r>
        <w:rPr>
          <w:spacing w:val="-2"/>
        </w:rPr>
        <w:t>účelu</w:t>
      </w:r>
    </w:p>
    <w:p>
      <w:pPr>
        <w:pStyle w:val="BodyText"/>
        <w:jc w:val="both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1306" w:right="103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4"/>
        </w:rPr>
        <w:t>VII.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9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ind w:left="0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264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025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1337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7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14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71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8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2025-05-02T13:02:56Z</dcterms:created>
  <dcterms:modified xsi:type="dcterms:W3CDTF">2025-05-02T13:02:56Z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2025-05-02T00:00:00Z</vt:filetime>
  </property>
</Properties>
</file>