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08584" w14:textId="77777777" w:rsidR="00BA21D7" w:rsidRDefault="00BA21D7">
      <w:pPr>
        <w:spacing w:after="489" w:line="1" w:lineRule="exact"/>
      </w:pPr>
    </w:p>
    <w:p w14:paraId="30DF0201" w14:textId="77777777" w:rsidR="00BA21D7" w:rsidRDefault="00BA21D7">
      <w:pPr>
        <w:spacing w:line="1" w:lineRule="exact"/>
        <w:sectPr w:rsidR="00BA21D7">
          <w:footerReference w:type="default" r:id="rId7"/>
          <w:pgSz w:w="11900" w:h="16840"/>
          <w:pgMar w:top="179" w:right="101" w:bottom="1276" w:left="1481" w:header="0" w:footer="3" w:gutter="0"/>
          <w:pgNumType w:start="1"/>
          <w:cols w:space="720"/>
          <w:noEndnote/>
          <w:docGrid w:linePitch="360"/>
        </w:sectPr>
      </w:pPr>
    </w:p>
    <w:p w14:paraId="765CAD29" w14:textId="17167E7A" w:rsidR="00BA21D7" w:rsidRDefault="00BA21D7">
      <w:pPr>
        <w:pStyle w:val="Tablecaption10"/>
        <w:ind w:left="671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8"/>
        <w:gridCol w:w="4435"/>
      </w:tblGrid>
      <w:tr w:rsidR="00BA21D7" w14:paraId="4272FB56" w14:textId="77777777">
        <w:tblPrEx>
          <w:tblCellMar>
            <w:top w:w="0" w:type="dxa"/>
            <w:bottom w:w="0" w:type="dxa"/>
          </w:tblCellMar>
        </w:tblPrEx>
        <w:trPr>
          <w:trHeight w:hRule="exact" w:val="2095"/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6C0510" w14:textId="77777777" w:rsidR="00BA21D7" w:rsidRDefault="00000000">
            <w:pPr>
              <w:pStyle w:val="Other10"/>
              <w:spacing w:line="240" w:lineRule="auto"/>
              <w:jc w:val="center"/>
            </w:pPr>
            <w:r>
              <w:rPr>
                <w:rStyle w:val="Other1"/>
                <w:b/>
                <w:bCs/>
                <w:sz w:val="26"/>
                <w:szCs w:val="26"/>
              </w:rPr>
              <w:t xml:space="preserve">Dodatek č. 1 ke Smlouvě o objemovém bonusu při dodávkách léčivých přípravků </w:t>
            </w:r>
            <w:r>
              <w:rPr>
                <w:rStyle w:val="Other1"/>
              </w:rPr>
              <w:t xml:space="preserve">(dále jen </w:t>
            </w:r>
            <w:r>
              <w:rPr>
                <w:rStyle w:val="Other1"/>
                <w:b/>
                <w:bCs/>
              </w:rPr>
              <w:t>„Dodatek“)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B2ABA" w14:textId="77777777" w:rsidR="00BA21D7" w:rsidRDefault="00000000">
            <w:pPr>
              <w:pStyle w:val="Other10"/>
              <w:spacing w:line="240" w:lineRule="auto"/>
              <w:jc w:val="center"/>
            </w:pPr>
            <w:proofErr w:type="spellStart"/>
            <w:r>
              <w:rPr>
                <w:rStyle w:val="Other1"/>
                <w:b/>
                <w:bCs/>
                <w:sz w:val="26"/>
                <w:szCs w:val="26"/>
              </w:rPr>
              <w:t>Amendment</w:t>
            </w:r>
            <w:proofErr w:type="spellEnd"/>
            <w:r>
              <w:rPr>
                <w:rStyle w:val="Other1"/>
                <w:b/>
                <w:bCs/>
                <w:sz w:val="26"/>
                <w:szCs w:val="26"/>
              </w:rPr>
              <w:t xml:space="preserve"> No. 1 to </w:t>
            </w:r>
            <w:proofErr w:type="spellStart"/>
            <w:r>
              <w:rPr>
                <w:rStyle w:val="Other1"/>
                <w:b/>
                <w:bCs/>
                <w:sz w:val="26"/>
                <w:szCs w:val="26"/>
              </w:rPr>
              <w:t>the</w:t>
            </w:r>
            <w:proofErr w:type="spellEnd"/>
            <w:r>
              <w:rPr>
                <w:rStyle w:val="Other1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  <w:sz w:val="26"/>
                <w:szCs w:val="26"/>
              </w:rPr>
              <w:t>Agreement</w:t>
            </w:r>
            <w:proofErr w:type="spellEnd"/>
            <w:r>
              <w:rPr>
                <w:rStyle w:val="Other1"/>
                <w:b/>
                <w:bCs/>
                <w:sz w:val="26"/>
                <w:szCs w:val="26"/>
              </w:rPr>
              <w:t xml:space="preserve"> on </w:t>
            </w:r>
            <w:proofErr w:type="spellStart"/>
            <w:r>
              <w:rPr>
                <w:rStyle w:val="Other1"/>
                <w:b/>
                <w:bCs/>
                <w:sz w:val="26"/>
                <w:szCs w:val="26"/>
              </w:rPr>
              <w:t>turnover</w:t>
            </w:r>
            <w:proofErr w:type="spellEnd"/>
            <w:r>
              <w:rPr>
                <w:rStyle w:val="Other1"/>
                <w:b/>
                <w:bCs/>
                <w:sz w:val="26"/>
                <w:szCs w:val="26"/>
              </w:rPr>
              <w:t xml:space="preserve"> bonus in Supply </w:t>
            </w:r>
            <w:proofErr w:type="spellStart"/>
            <w:r>
              <w:rPr>
                <w:rStyle w:val="Other1"/>
                <w:b/>
                <w:bCs/>
                <w:sz w:val="26"/>
                <w:szCs w:val="26"/>
              </w:rPr>
              <w:t>of</w:t>
            </w:r>
            <w:proofErr w:type="spellEnd"/>
            <w:r>
              <w:rPr>
                <w:rStyle w:val="Other1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  <w:sz w:val="26"/>
                <w:szCs w:val="26"/>
              </w:rPr>
              <w:t>Medicinal</w:t>
            </w:r>
            <w:proofErr w:type="spellEnd"/>
            <w:r>
              <w:rPr>
                <w:rStyle w:val="Other1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  <w:sz w:val="26"/>
                <w:szCs w:val="26"/>
              </w:rPr>
              <w:t>Products</w:t>
            </w:r>
            <w:proofErr w:type="spellEnd"/>
            <w:r>
              <w:rPr>
                <w:rStyle w:val="Other1"/>
                <w:b/>
                <w:bCs/>
                <w:sz w:val="26"/>
                <w:szCs w:val="26"/>
              </w:rPr>
              <w:t xml:space="preserve"> </w:t>
            </w:r>
            <w:r>
              <w:rPr>
                <w:rStyle w:val="Other1"/>
              </w:rPr>
              <w:t>(</w:t>
            </w:r>
            <w:proofErr w:type="spellStart"/>
            <w:r>
              <w:rPr>
                <w:rStyle w:val="Other1"/>
              </w:rPr>
              <w:t>hereinafter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referred</w:t>
            </w:r>
            <w:proofErr w:type="spellEnd"/>
            <w:r>
              <w:rPr>
                <w:rStyle w:val="Other1"/>
              </w:rPr>
              <w:t xml:space="preserve"> to as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r>
              <w:rPr>
                <w:rStyle w:val="Other1"/>
                <w:b/>
                <w:bCs/>
              </w:rPr>
              <w:t>“</w:t>
            </w:r>
            <w:proofErr w:type="spellStart"/>
            <w:r>
              <w:rPr>
                <w:rStyle w:val="Other1"/>
                <w:b/>
                <w:bCs/>
              </w:rPr>
              <w:t>Amendment</w:t>
            </w:r>
            <w:proofErr w:type="spellEnd"/>
            <w:r>
              <w:rPr>
                <w:rStyle w:val="Other1"/>
                <w:b/>
                <w:bCs/>
              </w:rPr>
              <w:t>”)</w:t>
            </w:r>
          </w:p>
        </w:tc>
      </w:tr>
      <w:tr w:rsidR="00BA21D7" w14:paraId="1714DC73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3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20DCF2" w14:textId="77777777" w:rsidR="00BA21D7" w:rsidRDefault="00000000">
            <w:pPr>
              <w:pStyle w:val="Other10"/>
              <w:spacing w:line="240" w:lineRule="auto"/>
              <w:jc w:val="both"/>
            </w:pPr>
            <w:r>
              <w:rPr>
                <w:rStyle w:val="Other1"/>
              </w:rPr>
              <w:t>Smluvní strany:</w:t>
            </w:r>
          </w:p>
        </w:tc>
        <w:tc>
          <w:tcPr>
            <w:tcW w:w="4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0D6D" w14:textId="77777777" w:rsidR="00BA21D7" w:rsidRDefault="00000000">
            <w:pPr>
              <w:pStyle w:val="Other10"/>
              <w:spacing w:line="240" w:lineRule="auto"/>
              <w:jc w:val="both"/>
            </w:pPr>
            <w:proofErr w:type="spellStart"/>
            <w:r>
              <w:rPr>
                <w:rStyle w:val="Other1"/>
              </w:rPr>
              <w:t>Contractual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parties</w:t>
            </w:r>
            <w:proofErr w:type="spellEnd"/>
            <w:r>
              <w:rPr>
                <w:rStyle w:val="Other1"/>
              </w:rPr>
              <w:t>:</w:t>
            </w:r>
          </w:p>
        </w:tc>
      </w:tr>
      <w:tr w:rsidR="00BA21D7" w14:paraId="39A12FA8" w14:textId="77777777">
        <w:tblPrEx>
          <w:tblCellMar>
            <w:top w:w="0" w:type="dxa"/>
            <w:bottom w:w="0" w:type="dxa"/>
          </w:tblCellMar>
        </w:tblPrEx>
        <w:trPr>
          <w:trHeight w:hRule="exact" w:val="2880"/>
          <w:jc w:val="center"/>
        </w:trPr>
        <w:tc>
          <w:tcPr>
            <w:tcW w:w="4378" w:type="dxa"/>
            <w:tcBorders>
              <w:left w:val="single" w:sz="4" w:space="0" w:color="auto"/>
            </w:tcBorders>
            <w:shd w:val="clear" w:color="auto" w:fill="auto"/>
          </w:tcPr>
          <w:p w14:paraId="1659F70E" w14:textId="77777777" w:rsidR="00BA21D7" w:rsidRDefault="00000000">
            <w:pPr>
              <w:pStyle w:val="Other10"/>
              <w:spacing w:before="140" w:line="257" w:lineRule="auto"/>
              <w:jc w:val="both"/>
            </w:pPr>
            <w:proofErr w:type="spellStart"/>
            <w:r>
              <w:rPr>
                <w:rStyle w:val="Other1"/>
                <w:b/>
                <w:bCs/>
              </w:rPr>
              <w:t>Boehringer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Ingelheim</w:t>
            </w:r>
            <w:proofErr w:type="spellEnd"/>
            <w:r>
              <w:rPr>
                <w:rStyle w:val="Other1"/>
                <w:b/>
                <w:bCs/>
              </w:rPr>
              <w:t>, spol. s.r.o.</w:t>
            </w:r>
          </w:p>
          <w:p w14:paraId="14678E4F" w14:textId="77777777" w:rsidR="00BA21D7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sídlem: Purkyňova 2121/3, Praha 1, PSČ: 11000</w:t>
            </w:r>
          </w:p>
          <w:p w14:paraId="63CB2558" w14:textId="77777777" w:rsidR="00BA21D7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IČO: 480 25 976</w:t>
            </w:r>
          </w:p>
          <w:p w14:paraId="0364871A" w14:textId="77777777" w:rsidR="00BA21D7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DIČ: CZ 480 25 976</w:t>
            </w:r>
          </w:p>
          <w:p w14:paraId="429F93A9" w14:textId="54FEC445" w:rsidR="00BA21D7" w:rsidRDefault="00000000">
            <w:pPr>
              <w:pStyle w:val="Other10"/>
              <w:spacing w:line="257" w:lineRule="auto"/>
              <w:jc w:val="both"/>
            </w:pPr>
            <w:r>
              <w:rPr>
                <w:rStyle w:val="Other1"/>
              </w:rPr>
              <w:t xml:space="preserve">zapsaná v obchodním rejstříku vedeném u Městského soudu v Praze, </w:t>
            </w:r>
            <w:proofErr w:type="spellStart"/>
            <w:r>
              <w:rPr>
                <w:rStyle w:val="Other1"/>
              </w:rPr>
              <w:t>sp.zn</w:t>
            </w:r>
            <w:proofErr w:type="spellEnd"/>
            <w:r>
              <w:rPr>
                <w:rStyle w:val="Other1"/>
              </w:rPr>
              <w:t xml:space="preserve">. C 14176 </w:t>
            </w:r>
            <w:proofErr w:type="gramStart"/>
            <w:r>
              <w:rPr>
                <w:rStyle w:val="Other1"/>
              </w:rPr>
              <w:t>zastoupení:,</w:t>
            </w:r>
            <w:proofErr w:type="gramEnd"/>
            <w:r>
              <w:rPr>
                <w:rStyle w:val="Other1"/>
              </w:rPr>
              <w:t xml:space="preserve"> jednatelé</w:t>
            </w:r>
          </w:p>
        </w:tc>
        <w:tc>
          <w:tcPr>
            <w:tcW w:w="4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A277" w14:textId="77777777" w:rsidR="00BA21D7" w:rsidRDefault="00000000">
            <w:pPr>
              <w:pStyle w:val="Other10"/>
              <w:jc w:val="both"/>
            </w:pPr>
            <w:proofErr w:type="spellStart"/>
            <w:r>
              <w:rPr>
                <w:rStyle w:val="Other1"/>
                <w:b/>
                <w:bCs/>
              </w:rPr>
              <w:t>Boehringer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Ingelheim</w:t>
            </w:r>
            <w:proofErr w:type="spellEnd"/>
            <w:r>
              <w:rPr>
                <w:rStyle w:val="Other1"/>
                <w:b/>
                <w:bCs/>
              </w:rPr>
              <w:t>, spol. s.r.o.</w:t>
            </w:r>
          </w:p>
          <w:p w14:paraId="7095BAE5" w14:textId="77777777" w:rsidR="00BA21D7" w:rsidRDefault="00000000">
            <w:pPr>
              <w:pStyle w:val="Other10"/>
              <w:jc w:val="both"/>
            </w:pPr>
            <w:proofErr w:type="spellStart"/>
            <w:r>
              <w:rPr>
                <w:rStyle w:val="Other1"/>
              </w:rPr>
              <w:t>With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its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registered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seat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address</w:t>
            </w:r>
            <w:proofErr w:type="spellEnd"/>
            <w:r>
              <w:rPr>
                <w:rStyle w:val="Other1"/>
              </w:rPr>
              <w:t xml:space="preserve">: Purkyňova 2121/3, Prague 1, Postál </w:t>
            </w:r>
            <w:proofErr w:type="spellStart"/>
            <w:r>
              <w:rPr>
                <w:rStyle w:val="Other1"/>
              </w:rPr>
              <w:t>Code</w:t>
            </w:r>
            <w:proofErr w:type="spellEnd"/>
            <w:r>
              <w:rPr>
                <w:rStyle w:val="Other1"/>
              </w:rPr>
              <w:t>: 11000</w:t>
            </w:r>
          </w:p>
          <w:p w14:paraId="3B2FD336" w14:textId="77777777" w:rsidR="00BA21D7" w:rsidRDefault="00000000">
            <w:pPr>
              <w:pStyle w:val="Other10"/>
              <w:jc w:val="both"/>
            </w:pPr>
            <w:r>
              <w:rPr>
                <w:rStyle w:val="Other1"/>
              </w:rPr>
              <w:t>Business ID No.: 480 25 976</w:t>
            </w:r>
          </w:p>
          <w:p w14:paraId="34C68760" w14:textId="77777777" w:rsidR="00BA21D7" w:rsidRDefault="00000000">
            <w:pPr>
              <w:pStyle w:val="Other10"/>
              <w:jc w:val="both"/>
            </w:pPr>
            <w:r>
              <w:rPr>
                <w:rStyle w:val="Other1"/>
              </w:rPr>
              <w:t>Tax ID No.: CZ 480 25 976</w:t>
            </w:r>
          </w:p>
          <w:p w14:paraId="3F442FAA" w14:textId="77777777" w:rsidR="00BA21D7" w:rsidRDefault="00000000">
            <w:pPr>
              <w:pStyle w:val="Other10"/>
              <w:jc w:val="both"/>
            </w:pPr>
            <w:proofErr w:type="spellStart"/>
            <w:r>
              <w:rPr>
                <w:rStyle w:val="Other1"/>
              </w:rPr>
              <w:t>Registered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with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Commercial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Register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administered</w:t>
            </w:r>
            <w:proofErr w:type="spellEnd"/>
            <w:r>
              <w:rPr>
                <w:rStyle w:val="Other1"/>
              </w:rPr>
              <w:t xml:space="preserve"> by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Municipal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Court</w:t>
            </w:r>
            <w:proofErr w:type="spellEnd"/>
            <w:r>
              <w:rPr>
                <w:rStyle w:val="Other1"/>
              </w:rPr>
              <w:t xml:space="preserve"> in Prague, Filé No. C 14176</w:t>
            </w:r>
          </w:p>
          <w:p w14:paraId="35E552AB" w14:textId="4CBC5C83" w:rsidR="00BA21D7" w:rsidRDefault="00000000">
            <w:pPr>
              <w:pStyle w:val="Other10"/>
              <w:jc w:val="both"/>
            </w:pPr>
            <w:proofErr w:type="spellStart"/>
            <w:r>
              <w:rPr>
                <w:rStyle w:val="Other1"/>
              </w:rPr>
              <w:t>Represented</w:t>
            </w:r>
            <w:proofErr w:type="spellEnd"/>
            <w:r>
              <w:rPr>
                <w:rStyle w:val="Other1"/>
              </w:rPr>
              <w:t xml:space="preserve"> by, </w:t>
            </w:r>
            <w:proofErr w:type="spellStart"/>
            <w:r>
              <w:rPr>
                <w:rStyle w:val="Other1"/>
              </w:rPr>
              <w:t>Executives</w:t>
            </w:r>
            <w:proofErr w:type="spellEnd"/>
            <w:r>
              <w:rPr>
                <w:rStyle w:val="Other1"/>
              </w:rPr>
              <w:t>,</w:t>
            </w:r>
          </w:p>
        </w:tc>
      </w:tr>
      <w:tr w:rsidR="00BA21D7" w14:paraId="051087E3" w14:textId="77777777">
        <w:tblPrEx>
          <w:tblCellMar>
            <w:top w:w="0" w:type="dxa"/>
            <w:bottom w:w="0" w:type="dxa"/>
          </w:tblCellMar>
        </w:tblPrEx>
        <w:trPr>
          <w:trHeight w:hRule="exact" w:val="1210"/>
          <w:jc w:val="center"/>
        </w:trPr>
        <w:tc>
          <w:tcPr>
            <w:tcW w:w="43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AE0915" w14:textId="77777777" w:rsidR="00BA21D7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 xml:space="preserve">jako dodavatel na straně jedné (dále jen </w:t>
            </w:r>
            <w:r>
              <w:rPr>
                <w:rStyle w:val="Other1"/>
                <w:b/>
                <w:bCs/>
              </w:rPr>
              <w:t>„dodavatel“)</w:t>
            </w:r>
          </w:p>
        </w:tc>
        <w:tc>
          <w:tcPr>
            <w:tcW w:w="4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6EA6" w14:textId="77777777" w:rsidR="00BA21D7" w:rsidRDefault="00000000">
            <w:pPr>
              <w:pStyle w:val="Other10"/>
              <w:spacing w:line="240" w:lineRule="auto"/>
              <w:jc w:val="both"/>
            </w:pPr>
            <w:r>
              <w:rPr>
                <w:rStyle w:val="Other1"/>
              </w:rPr>
              <w:t xml:space="preserve">as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supplier</w:t>
            </w:r>
            <w:proofErr w:type="spellEnd"/>
          </w:p>
          <w:p w14:paraId="0164D89C" w14:textId="77777777" w:rsidR="00BA21D7" w:rsidRDefault="00000000">
            <w:pPr>
              <w:pStyle w:val="Other10"/>
              <w:spacing w:after="240" w:line="240" w:lineRule="auto"/>
              <w:jc w:val="both"/>
            </w:pPr>
            <w:r>
              <w:rPr>
                <w:rStyle w:val="Other1"/>
              </w:rPr>
              <w:t>(</w:t>
            </w:r>
            <w:proofErr w:type="spellStart"/>
            <w:r>
              <w:rPr>
                <w:rStyle w:val="Other1"/>
              </w:rPr>
              <w:t>hereinafter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referred</w:t>
            </w:r>
            <w:proofErr w:type="spellEnd"/>
            <w:r>
              <w:rPr>
                <w:rStyle w:val="Other1"/>
              </w:rPr>
              <w:t xml:space="preserve"> to as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r>
              <w:rPr>
                <w:rStyle w:val="Other1"/>
                <w:b/>
                <w:bCs/>
              </w:rPr>
              <w:t>“</w:t>
            </w:r>
            <w:proofErr w:type="spellStart"/>
            <w:r>
              <w:rPr>
                <w:rStyle w:val="Other1"/>
                <w:b/>
                <w:bCs/>
              </w:rPr>
              <w:t>supplier</w:t>
            </w:r>
            <w:proofErr w:type="spellEnd"/>
            <w:r>
              <w:rPr>
                <w:rStyle w:val="Other1"/>
                <w:b/>
                <w:bCs/>
              </w:rPr>
              <w:t>”)</w:t>
            </w:r>
          </w:p>
          <w:p w14:paraId="14D68748" w14:textId="77777777" w:rsidR="00BA21D7" w:rsidRDefault="00000000">
            <w:pPr>
              <w:pStyle w:val="Other10"/>
              <w:spacing w:after="120" w:line="240" w:lineRule="auto"/>
            </w:pPr>
            <w:r>
              <w:rPr>
                <w:rStyle w:val="Other1"/>
              </w:rPr>
              <w:t>and</w:t>
            </w:r>
          </w:p>
        </w:tc>
      </w:tr>
      <w:tr w:rsidR="00BA21D7" w14:paraId="27268194" w14:textId="77777777">
        <w:tblPrEx>
          <w:tblCellMar>
            <w:top w:w="0" w:type="dxa"/>
            <w:bottom w:w="0" w:type="dxa"/>
          </w:tblCellMar>
        </w:tblPrEx>
        <w:trPr>
          <w:trHeight w:hRule="exact" w:val="3449"/>
          <w:jc w:val="center"/>
        </w:trPr>
        <w:tc>
          <w:tcPr>
            <w:tcW w:w="4378" w:type="dxa"/>
            <w:tcBorders>
              <w:left w:val="single" w:sz="4" w:space="0" w:color="auto"/>
            </w:tcBorders>
            <w:shd w:val="clear" w:color="auto" w:fill="auto"/>
          </w:tcPr>
          <w:p w14:paraId="6639CD51" w14:textId="77777777" w:rsidR="00BA21D7" w:rsidRDefault="00000000">
            <w:pPr>
              <w:pStyle w:val="Other10"/>
              <w:spacing w:after="220"/>
              <w:jc w:val="both"/>
            </w:pPr>
            <w:r>
              <w:rPr>
                <w:rStyle w:val="Other1"/>
              </w:rPr>
              <w:t>a</w:t>
            </w:r>
          </w:p>
          <w:p w14:paraId="5286874F" w14:textId="77777777" w:rsidR="00BA21D7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Nemocnice Havířov, příspěvková organizace</w:t>
            </w:r>
          </w:p>
          <w:p w14:paraId="0E01D2FF" w14:textId="77777777" w:rsidR="00BA21D7" w:rsidRDefault="00000000">
            <w:pPr>
              <w:pStyle w:val="Other10"/>
              <w:jc w:val="both"/>
            </w:pPr>
            <w:r>
              <w:rPr>
                <w:rStyle w:val="Other1"/>
              </w:rPr>
              <w:t>sídlem: Dělnická 1132/24, Město, Havířov</w:t>
            </w:r>
          </w:p>
          <w:p w14:paraId="77082653" w14:textId="77777777" w:rsidR="00BA21D7" w:rsidRDefault="00000000">
            <w:pPr>
              <w:pStyle w:val="Other10"/>
            </w:pPr>
            <w:r>
              <w:rPr>
                <w:rStyle w:val="Other1"/>
              </w:rPr>
              <w:t>PSČ: 736 01</w:t>
            </w:r>
          </w:p>
          <w:p w14:paraId="0EB32602" w14:textId="77777777" w:rsidR="00BA21D7" w:rsidRDefault="00000000">
            <w:pPr>
              <w:pStyle w:val="Other10"/>
            </w:pPr>
            <w:r>
              <w:rPr>
                <w:rStyle w:val="Other1"/>
              </w:rPr>
              <w:t>IČO: 008 44 896</w:t>
            </w:r>
          </w:p>
          <w:p w14:paraId="09C5C4EA" w14:textId="77777777" w:rsidR="00BA21D7" w:rsidRDefault="00000000">
            <w:pPr>
              <w:pStyle w:val="Other10"/>
            </w:pPr>
            <w:r>
              <w:rPr>
                <w:rStyle w:val="Other1"/>
              </w:rPr>
              <w:t>DIČ: CZ 008 44 896</w:t>
            </w:r>
          </w:p>
          <w:p w14:paraId="0320029A" w14:textId="7135F86F" w:rsidR="00BA21D7" w:rsidRDefault="00000000">
            <w:pPr>
              <w:pStyle w:val="Other10"/>
              <w:jc w:val="both"/>
            </w:pPr>
            <w:r>
              <w:rPr>
                <w:rStyle w:val="Other1"/>
              </w:rPr>
              <w:t xml:space="preserve">číslo účtu: Havířov zapsána v obchodním rejstříku vedeném u Krajského soudu v Ostravě, odd. </w:t>
            </w:r>
            <w:proofErr w:type="spellStart"/>
            <w:r>
              <w:rPr>
                <w:rStyle w:val="Other1"/>
              </w:rPr>
              <w:t>Pr</w:t>
            </w:r>
            <w:proofErr w:type="spellEnd"/>
            <w:r>
              <w:rPr>
                <w:rStyle w:val="Other1"/>
              </w:rPr>
              <w:t>, vložka 899</w:t>
            </w:r>
          </w:p>
          <w:p w14:paraId="7E108D42" w14:textId="1E855D80" w:rsidR="00BA21D7" w:rsidRDefault="00000000">
            <w:pPr>
              <w:pStyle w:val="Other10"/>
              <w:jc w:val="both"/>
            </w:pPr>
            <w:proofErr w:type="gramStart"/>
            <w:r>
              <w:rPr>
                <w:rStyle w:val="Other1"/>
              </w:rPr>
              <w:t>zastoupená:,</w:t>
            </w:r>
            <w:proofErr w:type="gramEnd"/>
            <w:r>
              <w:rPr>
                <w:rStyle w:val="Other1"/>
              </w:rPr>
              <w:t xml:space="preserve"> ředitelem</w:t>
            </w:r>
          </w:p>
        </w:tc>
        <w:tc>
          <w:tcPr>
            <w:tcW w:w="4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0979" w14:textId="77777777" w:rsidR="00BA21D7" w:rsidRDefault="00000000">
            <w:pPr>
              <w:pStyle w:val="Other10"/>
              <w:jc w:val="both"/>
            </w:pPr>
            <w:r>
              <w:rPr>
                <w:rStyle w:val="Other1"/>
                <w:b/>
                <w:bCs/>
              </w:rPr>
              <w:t>Nemocnice Havířov, příspěvková organizace</w:t>
            </w:r>
          </w:p>
          <w:p w14:paraId="3B605879" w14:textId="77777777" w:rsidR="00BA21D7" w:rsidRDefault="00000000">
            <w:pPr>
              <w:pStyle w:val="Other10"/>
              <w:jc w:val="both"/>
            </w:pPr>
            <w:proofErr w:type="spellStart"/>
            <w:r>
              <w:rPr>
                <w:rStyle w:val="Other1"/>
              </w:rPr>
              <w:t>With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its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registered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seat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address</w:t>
            </w:r>
            <w:proofErr w:type="spellEnd"/>
            <w:r>
              <w:rPr>
                <w:rStyle w:val="Other1"/>
              </w:rPr>
              <w:t>:</w:t>
            </w:r>
          </w:p>
          <w:p w14:paraId="7A2EFAE9" w14:textId="77777777" w:rsidR="00BA21D7" w:rsidRDefault="00000000">
            <w:pPr>
              <w:pStyle w:val="Other10"/>
              <w:jc w:val="both"/>
            </w:pPr>
            <w:r>
              <w:rPr>
                <w:rStyle w:val="Other1"/>
              </w:rPr>
              <w:t>Olomoucká 470/86, Předměstí, Opava</w:t>
            </w:r>
          </w:p>
          <w:p w14:paraId="775CBE7E" w14:textId="77777777" w:rsidR="00BA21D7" w:rsidRDefault="00000000">
            <w:pPr>
              <w:pStyle w:val="Other10"/>
            </w:pPr>
            <w:r>
              <w:rPr>
                <w:rStyle w:val="Other1"/>
              </w:rPr>
              <w:t>PSČ: 736 01</w:t>
            </w:r>
          </w:p>
          <w:p w14:paraId="3C04DFBC" w14:textId="77777777" w:rsidR="00BA21D7" w:rsidRDefault="00000000">
            <w:pPr>
              <w:pStyle w:val="Other10"/>
              <w:jc w:val="both"/>
            </w:pPr>
            <w:r>
              <w:rPr>
                <w:rStyle w:val="Other1"/>
              </w:rPr>
              <w:t>Business ID No.: 008 44 896</w:t>
            </w:r>
          </w:p>
          <w:p w14:paraId="220801CC" w14:textId="77777777" w:rsidR="00BA21D7" w:rsidRDefault="00000000">
            <w:pPr>
              <w:pStyle w:val="Other10"/>
              <w:jc w:val="both"/>
            </w:pPr>
            <w:r>
              <w:rPr>
                <w:rStyle w:val="Other1"/>
              </w:rPr>
              <w:t>tax ID No.: CZ 008 44 896</w:t>
            </w:r>
          </w:p>
          <w:p w14:paraId="2839A210" w14:textId="3E88BB47" w:rsidR="00BA21D7" w:rsidRDefault="00000000">
            <w:pPr>
              <w:pStyle w:val="Other10"/>
              <w:jc w:val="both"/>
            </w:pPr>
            <w:proofErr w:type="spellStart"/>
            <w:r>
              <w:rPr>
                <w:rStyle w:val="Other1"/>
              </w:rPr>
              <w:t>account</w:t>
            </w:r>
            <w:proofErr w:type="spellEnd"/>
            <w:r>
              <w:rPr>
                <w:rStyle w:val="Other1"/>
              </w:rPr>
              <w:t xml:space="preserve"> No.: </w:t>
            </w:r>
          </w:p>
          <w:p w14:paraId="460B0712" w14:textId="77777777" w:rsidR="00BA21D7" w:rsidRDefault="00000000">
            <w:pPr>
              <w:pStyle w:val="Other10"/>
              <w:jc w:val="both"/>
            </w:pPr>
            <w:proofErr w:type="spellStart"/>
            <w:r>
              <w:rPr>
                <w:rStyle w:val="Other1"/>
              </w:rPr>
              <w:t>registered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with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Commercial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Register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administered</w:t>
            </w:r>
            <w:proofErr w:type="spellEnd"/>
            <w:r>
              <w:rPr>
                <w:rStyle w:val="Other1"/>
              </w:rPr>
              <w:t xml:space="preserve"> by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Regional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court</w:t>
            </w:r>
            <w:proofErr w:type="spellEnd"/>
            <w:r>
              <w:rPr>
                <w:rStyle w:val="Other1"/>
              </w:rPr>
              <w:t xml:space="preserve"> in</w:t>
            </w:r>
          </w:p>
          <w:p w14:paraId="301B0D6A" w14:textId="77777777" w:rsidR="00BA21D7" w:rsidRDefault="00000000">
            <w:pPr>
              <w:pStyle w:val="Other10"/>
              <w:jc w:val="both"/>
            </w:pPr>
            <w:r>
              <w:rPr>
                <w:rStyle w:val="Other1"/>
              </w:rPr>
              <w:t xml:space="preserve">Ostrava, </w:t>
            </w:r>
            <w:proofErr w:type="spellStart"/>
            <w:r>
              <w:rPr>
                <w:rStyle w:val="Other1"/>
              </w:rPr>
              <w:t>Section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Pr</w:t>
            </w:r>
            <w:proofErr w:type="spellEnd"/>
            <w:r>
              <w:rPr>
                <w:rStyle w:val="Other1"/>
              </w:rPr>
              <w:t>, Filé No. 899</w:t>
            </w:r>
          </w:p>
          <w:p w14:paraId="18DE671D" w14:textId="0118E429" w:rsidR="00BA21D7" w:rsidRDefault="00000000">
            <w:pPr>
              <w:pStyle w:val="Other10"/>
              <w:jc w:val="both"/>
            </w:pPr>
            <w:proofErr w:type="spellStart"/>
            <w:r>
              <w:rPr>
                <w:rStyle w:val="Other1"/>
              </w:rPr>
              <w:t>represented</w:t>
            </w:r>
            <w:proofErr w:type="spellEnd"/>
            <w:r>
              <w:rPr>
                <w:rStyle w:val="Other1"/>
              </w:rPr>
              <w:t xml:space="preserve"> by: </w:t>
            </w:r>
            <w:proofErr w:type="spellStart"/>
            <w:r>
              <w:rPr>
                <w:rStyle w:val="Other1"/>
              </w:rPr>
              <w:t>Director</w:t>
            </w:r>
            <w:proofErr w:type="spellEnd"/>
          </w:p>
        </w:tc>
      </w:tr>
      <w:tr w:rsidR="00BA21D7" w14:paraId="61144C2C" w14:textId="77777777">
        <w:tblPrEx>
          <w:tblCellMar>
            <w:top w:w="0" w:type="dxa"/>
            <w:bottom w:w="0" w:type="dxa"/>
          </w:tblCellMar>
        </w:tblPrEx>
        <w:trPr>
          <w:trHeight w:hRule="exact" w:val="727"/>
          <w:jc w:val="center"/>
        </w:trPr>
        <w:tc>
          <w:tcPr>
            <w:tcW w:w="43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45CD88" w14:textId="77777777" w:rsidR="00BA21D7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 xml:space="preserve">jako odběratel na straně druhé (dále jen </w:t>
            </w:r>
            <w:r>
              <w:rPr>
                <w:rStyle w:val="Other1"/>
                <w:b/>
                <w:bCs/>
              </w:rPr>
              <w:t>„odběratel“).</w:t>
            </w:r>
          </w:p>
        </w:tc>
        <w:tc>
          <w:tcPr>
            <w:tcW w:w="4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87D1" w14:textId="77777777" w:rsidR="00BA21D7" w:rsidRDefault="00000000">
            <w:pPr>
              <w:pStyle w:val="Other10"/>
              <w:spacing w:line="240" w:lineRule="auto"/>
              <w:jc w:val="both"/>
            </w:pPr>
            <w:r>
              <w:rPr>
                <w:rStyle w:val="Other1"/>
              </w:rPr>
              <w:t xml:space="preserve">as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customer</w:t>
            </w:r>
            <w:proofErr w:type="spellEnd"/>
          </w:p>
          <w:p w14:paraId="33691340" w14:textId="77777777" w:rsidR="00BA21D7" w:rsidRDefault="00000000">
            <w:pPr>
              <w:pStyle w:val="Other10"/>
              <w:spacing w:line="240" w:lineRule="auto"/>
              <w:jc w:val="both"/>
            </w:pPr>
            <w:r>
              <w:rPr>
                <w:rStyle w:val="Other1"/>
              </w:rPr>
              <w:t>(</w:t>
            </w:r>
            <w:proofErr w:type="spellStart"/>
            <w:r>
              <w:rPr>
                <w:rStyle w:val="Other1"/>
              </w:rPr>
              <w:t>hereinafter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referred</w:t>
            </w:r>
            <w:proofErr w:type="spellEnd"/>
            <w:r>
              <w:rPr>
                <w:rStyle w:val="Other1"/>
              </w:rPr>
              <w:t xml:space="preserve"> to as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r>
              <w:rPr>
                <w:rStyle w:val="Other1"/>
                <w:b/>
                <w:bCs/>
              </w:rPr>
              <w:t>“</w:t>
            </w:r>
            <w:proofErr w:type="spellStart"/>
            <w:r>
              <w:rPr>
                <w:rStyle w:val="Other1"/>
                <w:b/>
                <w:bCs/>
              </w:rPr>
              <w:t>customer</w:t>
            </w:r>
            <w:proofErr w:type="spellEnd"/>
            <w:r>
              <w:rPr>
                <w:rStyle w:val="Other1"/>
                <w:b/>
                <w:bCs/>
              </w:rPr>
              <w:t>”).</w:t>
            </w:r>
          </w:p>
        </w:tc>
      </w:tr>
      <w:tr w:rsidR="00BA21D7" w14:paraId="6D00D82C" w14:textId="77777777">
        <w:tblPrEx>
          <w:tblCellMar>
            <w:top w:w="0" w:type="dxa"/>
            <w:bottom w:w="0" w:type="dxa"/>
          </w:tblCellMar>
        </w:tblPrEx>
        <w:trPr>
          <w:trHeight w:hRule="exact" w:val="2592"/>
          <w:jc w:val="center"/>
        </w:trPr>
        <w:tc>
          <w:tcPr>
            <w:tcW w:w="43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BB3097" w14:textId="77777777" w:rsidR="00BA21D7" w:rsidRDefault="00000000">
            <w:pPr>
              <w:pStyle w:val="Other10"/>
              <w:spacing w:before="140" w:line="240" w:lineRule="auto"/>
              <w:jc w:val="both"/>
            </w:pPr>
            <w:r>
              <w:rPr>
                <w:rStyle w:val="Other1"/>
              </w:rPr>
              <w:t>(odběratel a dodavatel společně dále jako</w:t>
            </w:r>
          </w:p>
          <w:p w14:paraId="4243ED51" w14:textId="77777777" w:rsidR="00BA21D7" w:rsidRDefault="00000000">
            <w:pPr>
              <w:pStyle w:val="Other10"/>
              <w:spacing w:line="240" w:lineRule="auto"/>
              <w:jc w:val="both"/>
            </w:pPr>
            <w:r>
              <w:rPr>
                <w:rStyle w:val="Other1"/>
                <w:b/>
                <w:bCs/>
              </w:rPr>
              <w:t>„smluvní strany“)</w:t>
            </w:r>
          </w:p>
        </w:tc>
        <w:tc>
          <w:tcPr>
            <w:tcW w:w="4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41BCF" w14:textId="77777777" w:rsidR="00BA21D7" w:rsidRDefault="00000000">
            <w:pPr>
              <w:pStyle w:val="Other10"/>
              <w:spacing w:line="257" w:lineRule="auto"/>
              <w:jc w:val="both"/>
            </w:pPr>
            <w:r>
              <w:rPr>
                <w:rStyle w:val="Other1"/>
              </w:rPr>
              <w:t>(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customer</w:t>
            </w:r>
            <w:proofErr w:type="spellEnd"/>
            <w:r>
              <w:rPr>
                <w:rStyle w:val="Other1"/>
              </w:rPr>
              <w:t xml:space="preserve"> and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supplier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shall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hereinafter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be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collectively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referred</w:t>
            </w:r>
            <w:proofErr w:type="spellEnd"/>
            <w:r>
              <w:rPr>
                <w:rStyle w:val="Other1"/>
              </w:rPr>
              <w:t xml:space="preserve"> to as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</w:p>
          <w:p w14:paraId="29DBB6CE" w14:textId="77777777" w:rsidR="00BA21D7" w:rsidRDefault="00000000">
            <w:pPr>
              <w:pStyle w:val="Other10"/>
              <w:spacing w:line="257" w:lineRule="auto"/>
              <w:jc w:val="both"/>
            </w:pPr>
            <w:r>
              <w:rPr>
                <w:rStyle w:val="Other1"/>
                <w:b/>
                <w:bCs/>
              </w:rPr>
              <w:t>“</w:t>
            </w:r>
            <w:proofErr w:type="spellStart"/>
            <w:r>
              <w:rPr>
                <w:rStyle w:val="Other1"/>
                <w:b/>
                <w:bCs/>
              </w:rPr>
              <w:t>contractual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parties</w:t>
            </w:r>
            <w:proofErr w:type="spellEnd"/>
            <w:r>
              <w:rPr>
                <w:rStyle w:val="Other1"/>
                <w:b/>
                <w:bCs/>
              </w:rPr>
              <w:t>”)</w:t>
            </w:r>
          </w:p>
        </w:tc>
      </w:tr>
    </w:tbl>
    <w:p w14:paraId="5471F9EF" w14:textId="77777777" w:rsidR="00BA21D7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0"/>
        <w:gridCol w:w="4370"/>
      </w:tblGrid>
      <w:tr w:rsidR="00BA21D7" w14:paraId="39A0D419" w14:textId="77777777">
        <w:tblPrEx>
          <w:tblCellMar>
            <w:top w:w="0" w:type="dxa"/>
            <w:bottom w:w="0" w:type="dxa"/>
          </w:tblCellMar>
        </w:tblPrEx>
        <w:trPr>
          <w:trHeight w:hRule="exact" w:val="1030"/>
          <w:jc w:val="center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8E19AC" w14:textId="77777777" w:rsidR="00BA21D7" w:rsidRDefault="00000000">
            <w:pPr>
              <w:pStyle w:val="Other10"/>
              <w:spacing w:line="240" w:lineRule="auto"/>
              <w:jc w:val="center"/>
            </w:pPr>
            <w:r>
              <w:rPr>
                <w:rStyle w:val="Other1"/>
              </w:rPr>
              <w:lastRenderedPageBreak/>
              <w:t>Smluvní strany se dohodly takto: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98C6" w14:textId="77777777" w:rsidR="00BA21D7" w:rsidRDefault="00000000">
            <w:pPr>
              <w:pStyle w:val="Other10"/>
              <w:spacing w:line="264" w:lineRule="auto"/>
              <w:jc w:val="center"/>
            </w:pP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contractual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parties</w:t>
            </w:r>
            <w:proofErr w:type="spellEnd"/>
            <w:r>
              <w:rPr>
                <w:rStyle w:val="Other1"/>
              </w:rPr>
              <w:t xml:space="preserve"> háve </w:t>
            </w:r>
            <w:proofErr w:type="spellStart"/>
            <w:r>
              <w:rPr>
                <w:rStyle w:val="Other1"/>
              </w:rPr>
              <w:t>agreed</w:t>
            </w:r>
            <w:proofErr w:type="spellEnd"/>
            <w:r>
              <w:rPr>
                <w:rStyle w:val="Other1"/>
              </w:rPr>
              <w:t xml:space="preserve"> as </w:t>
            </w:r>
            <w:proofErr w:type="spellStart"/>
            <w:r>
              <w:rPr>
                <w:rStyle w:val="Other1"/>
              </w:rPr>
              <w:t>follows</w:t>
            </w:r>
            <w:proofErr w:type="spellEnd"/>
            <w:r>
              <w:rPr>
                <w:rStyle w:val="Other1"/>
              </w:rPr>
              <w:t>:</w:t>
            </w:r>
          </w:p>
        </w:tc>
      </w:tr>
      <w:tr w:rsidR="00BA21D7" w14:paraId="7441B7E9" w14:textId="77777777">
        <w:tblPrEx>
          <w:tblCellMar>
            <w:top w:w="0" w:type="dxa"/>
            <w:bottom w:w="0" w:type="dxa"/>
          </w:tblCellMar>
        </w:tblPrEx>
        <w:trPr>
          <w:trHeight w:hRule="exact" w:val="12377"/>
          <w:jc w:val="center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F599C6" w14:textId="77777777" w:rsidR="00BA21D7" w:rsidRDefault="00000000">
            <w:pPr>
              <w:pStyle w:val="Other10"/>
              <w:spacing w:before="260"/>
              <w:jc w:val="center"/>
            </w:pPr>
            <w:r>
              <w:rPr>
                <w:rStyle w:val="Other1"/>
                <w:b/>
                <w:bCs/>
              </w:rPr>
              <w:t>1.</w:t>
            </w:r>
          </w:p>
          <w:p w14:paraId="0E1920D7" w14:textId="77777777" w:rsidR="00BA21D7" w:rsidRDefault="00000000">
            <w:pPr>
              <w:pStyle w:val="Other10"/>
              <w:spacing w:after="240"/>
              <w:jc w:val="center"/>
            </w:pPr>
            <w:r>
              <w:rPr>
                <w:rStyle w:val="Other1"/>
                <w:b/>
                <w:bCs/>
              </w:rPr>
              <w:t>Úvodní ustanovení</w:t>
            </w:r>
          </w:p>
          <w:p w14:paraId="750D9EC3" w14:textId="77777777" w:rsidR="00BA21D7" w:rsidRDefault="00000000">
            <w:pPr>
              <w:pStyle w:val="Other10"/>
              <w:numPr>
                <w:ilvl w:val="0"/>
                <w:numId w:val="1"/>
              </w:numPr>
              <w:tabs>
                <w:tab w:val="left" w:pos="295"/>
              </w:tabs>
              <w:spacing w:after="480"/>
              <w:ind w:left="380" w:hanging="380"/>
              <w:jc w:val="both"/>
            </w:pPr>
            <w:r>
              <w:rPr>
                <w:rStyle w:val="Other1"/>
              </w:rPr>
              <w:t xml:space="preserve">Smluvní strany spolu dne 8.3.2024 uzavřely Smlouvu o objemovém bonusu při dodávkách léčivých přípravků (dále jen </w:t>
            </w:r>
            <w:r>
              <w:rPr>
                <w:rStyle w:val="Other1"/>
                <w:b/>
                <w:bCs/>
              </w:rPr>
              <w:t xml:space="preserve">„Smlouva“), </w:t>
            </w:r>
            <w:r>
              <w:rPr>
                <w:rStyle w:val="Other1"/>
              </w:rPr>
              <w:t xml:space="preserve">v souladu s § 1746 odst. 2 zákona č. 89/2012 Sb., občanský zákoník, ve znění pozdějších předpisů (dále jen </w:t>
            </w:r>
            <w:r>
              <w:rPr>
                <w:rStyle w:val="Other1"/>
                <w:b/>
                <w:bCs/>
              </w:rPr>
              <w:t>„občanský zákoník“).</w:t>
            </w:r>
          </w:p>
          <w:p w14:paraId="269083B2" w14:textId="77777777" w:rsidR="00BA21D7" w:rsidRDefault="00000000">
            <w:pPr>
              <w:pStyle w:val="Other10"/>
              <w:numPr>
                <w:ilvl w:val="0"/>
                <w:numId w:val="1"/>
              </w:numPr>
              <w:tabs>
                <w:tab w:val="left" w:pos="295"/>
              </w:tabs>
              <w:spacing w:after="720" w:line="252" w:lineRule="auto"/>
              <w:ind w:left="380" w:hanging="380"/>
              <w:jc w:val="both"/>
            </w:pPr>
            <w:r>
              <w:rPr>
                <w:rStyle w:val="Other1"/>
              </w:rPr>
              <w:t>Smluvní strany se proto v souladu s čl. VI. odst. 6 Smlouvy rozhodly uzavřít tento písemný číslovaný Dodatek.</w:t>
            </w:r>
          </w:p>
          <w:p w14:paraId="11190A06" w14:textId="77777777" w:rsidR="00BA21D7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II.</w:t>
            </w:r>
          </w:p>
          <w:p w14:paraId="08A2512A" w14:textId="77777777" w:rsidR="00BA21D7" w:rsidRDefault="00000000">
            <w:pPr>
              <w:pStyle w:val="Other10"/>
              <w:spacing w:after="240"/>
              <w:jc w:val="center"/>
            </w:pPr>
            <w:r>
              <w:rPr>
                <w:rStyle w:val="Other1"/>
                <w:b/>
                <w:bCs/>
              </w:rPr>
              <w:t>Předmět Dodatku</w:t>
            </w:r>
          </w:p>
          <w:p w14:paraId="56106896" w14:textId="77777777" w:rsidR="00BA21D7" w:rsidRDefault="00000000">
            <w:pPr>
              <w:pStyle w:val="Other10"/>
              <w:numPr>
                <w:ilvl w:val="0"/>
                <w:numId w:val="2"/>
              </w:numPr>
              <w:tabs>
                <w:tab w:val="left" w:pos="295"/>
              </w:tabs>
              <w:spacing w:after="240" w:line="240" w:lineRule="auto"/>
              <w:ind w:left="380" w:hanging="380"/>
              <w:jc w:val="both"/>
            </w:pPr>
            <w:r>
              <w:rPr>
                <w:rStyle w:val="Other1"/>
              </w:rPr>
              <w:t>Smluvní strany se dohodly, že článek III odst. 10 Smlouvy se mění následovně:</w:t>
            </w:r>
          </w:p>
          <w:p w14:paraId="4E892266" w14:textId="77777777" w:rsidR="00BA21D7" w:rsidRDefault="00000000">
            <w:pPr>
              <w:pStyle w:val="Other10"/>
              <w:ind w:left="380" w:firstLine="20"/>
              <w:jc w:val="both"/>
            </w:pPr>
            <w:r>
              <w:rPr>
                <w:rStyle w:val="Other1"/>
                <w:i/>
                <w:iCs/>
              </w:rPr>
              <w:t>„10. Smluvní strany mohou vzájemně komunikovat elektronickým způsobem, tj. zasíláním zpráv na e-mailovou adresu druhé smluvní strany, a to na e-mailové adresy zde uvedené:</w:t>
            </w:r>
          </w:p>
          <w:p w14:paraId="7DF99012" w14:textId="77777777" w:rsidR="00BA21D7" w:rsidRDefault="00000000">
            <w:pPr>
              <w:pStyle w:val="Other10"/>
              <w:ind w:left="380" w:firstLine="20"/>
              <w:jc w:val="both"/>
            </w:pPr>
            <w:r>
              <w:rPr>
                <w:rStyle w:val="Other1"/>
                <w:i/>
                <w:iCs/>
              </w:rPr>
              <w:t>Dodavatel:</w:t>
            </w:r>
            <w:r>
              <w:rPr>
                <w:rStyle w:val="Other1"/>
              </w:rPr>
              <w:t xml:space="preserve"> </w:t>
            </w:r>
            <w:hyperlink r:id="rId8" w:history="1">
              <w:r>
                <w:rPr>
                  <w:rStyle w:val="Other1"/>
                </w:rPr>
                <w:t xml:space="preserve">radovan.tiller@boehringer- </w:t>
              </w:r>
              <w:r>
                <w:rPr>
                  <w:rStyle w:val="Other1"/>
                  <w:lang w:val="en-US" w:eastAsia="en-US" w:bidi="en-US"/>
                </w:rPr>
                <w:t>ingelheim.com</w:t>
              </w:r>
            </w:hyperlink>
          </w:p>
          <w:p w14:paraId="6A190DC1" w14:textId="77777777" w:rsidR="00BA21D7" w:rsidRDefault="00000000">
            <w:pPr>
              <w:pStyle w:val="Other10"/>
              <w:spacing w:after="720"/>
              <w:ind w:left="380" w:firstLine="20"/>
            </w:pPr>
            <w:r>
              <w:rPr>
                <w:rStyle w:val="Other1"/>
                <w:i/>
                <w:iCs/>
              </w:rPr>
              <w:t>Odběratel:</w:t>
            </w:r>
            <w:r>
              <w:rPr>
                <w:rStyle w:val="Other1"/>
              </w:rPr>
              <w:t xml:space="preserve"> </w:t>
            </w:r>
            <w:hyperlink r:id="rId9" w:history="1">
              <w:r>
                <w:rPr>
                  <w:rStyle w:val="Other1"/>
                  <w:lang w:val="en-US" w:eastAsia="en-US" w:bidi="en-US"/>
                </w:rPr>
                <w:t>lubos.vejmola@nemhav.cz</w:t>
              </w:r>
            </w:hyperlink>
            <w:r>
              <w:rPr>
                <w:rStyle w:val="Other1"/>
                <w:lang w:val="en-US" w:eastAsia="en-US" w:bidi="en-US"/>
              </w:rPr>
              <w:t xml:space="preserve"> </w:t>
            </w:r>
            <w:r>
              <w:rPr>
                <w:rStyle w:val="Other1"/>
                <w:i/>
                <w:iCs/>
              </w:rPr>
              <w:t>Elektronickou komunikaci považují obě smluvní strany za komunikaci v písemné formě. “</w:t>
            </w:r>
          </w:p>
          <w:p w14:paraId="5E3191D5" w14:textId="77777777" w:rsidR="00BA21D7" w:rsidRDefault="00000000">
            <w:pPr>
              <w:pStyle w:val="Other10"/>
              <w:numPr>
                <w:ilvl w:val="0"/>
                <w:numId w:val="2"/>
              </w:numPr>
              <w:tabs>
                <w:tab w:val="left" w:pos="295"/>
              </w:tabs>
              <w:spacing w:after="360"/>
              <w:ind w:left="380" w:hanging="380"/>
              <w:jc w:val="both"/>
            </w:pPr>
            <w:r>
              <w:rPr>
                <w:rStyle w:val="Other1"/>
              </w:rPr>
              <w:t>Smluvní strany se dále dohodly, že od 1. 1. 2025 se změní příloha č. 1 Smlouvy nazvaná „Vzor a výpočet obchodního zvýhodnění“, a to tak, že příloha č. 1 Smlouvy se od 1. 1. 2025 nahrazuje novou přílohou č. 1 Smlouvy, která je uvedena v Příloze č. 1 tohoto Dodatku.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487B9" w14:textId="77777777" w:rsidR="00BA21D7" w:rsidRDefault="00000000">
            <w:pPr>
              <w:pStyle w:val="Other10"/>
              <w:spacing w:before="280" w:line="252" w:lineRule="auto"/>
              <w:jc w:val="center"/>
            </w:pPr>
            <w:r>
              <w:rPr>
                <w:rStyle w:val="Other1"/>
                <w:b/>
                <w:bCs/>
              </w:rPr>
              <w:t>1</w:t>
            </w:r>
          </w:p>
          <w:p w14:paraId="5EC79AE6" w14:textId="77777777" w:rsidR="00BA21D7" w:rsidRDefault="00000000">
            <w:pPr>
              <w:pStyle w:val="Other10"/>
              <w:spacing w:after="240" w:line="252" w:lineRule="auto"/>
              <w:jc w:val="center"/>
            </w:pPr>
            <w:proofErr w:type="spellStart"/>
            <w:r>
              <w:rPr>
                <w:rStyle w:val="Other1"/>
                <w:b/>
                <w:bCs/>
              </w:rPr>
              <w:t>Introductory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Provisions</w:t>
            </w:r>
            <w:proofErr w:type="spellEnd"/>
          </w:p>
          <w:p w14:paraId="2A8E4977" w14:textId="77777777" w:rsidR="00BA21D7" w:rsidRDefault="00000000">
            <w:pPr>
              <w:pStyle w:val="Other10"/>
              <w:numPr>
                <w:ilvl w:val="0"/>
                <w:numId w:val="3"/>
              </w:numPr>
              <w:tabs>
                <w:tab w:val="left" w:pos="266"/>
              </w:tabs>
              <w:spacing w:after="240" w:line="252" w:lineRule="auto"/>
              <w:ind w:left="360" w:hanging="360"/>
              <w:jc w:val="both"/>
            </w:pPr>
            <w:r>
              <w:rPr>
                <w:rStyle w:val="Other1"/>
              </w:rPr>
              <w:t xml:space="preserve">On 8.3.2024,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contractual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parties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entered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into</w:t>
            </w:r>
            <w:proofErr w:type="spellEnd"/>
            <w:r>
              <w:rPr>
                <w:rStyle w:val="Other1"/>
              </w:rPr>
              <w:t xml:space="preserve"> a </w:t>
            </w:r>
            <w:proofErr w:type="spellStart"/>
            <w:r>
              <w:rPr>
                <w:rStyle w:val="Other1"/>
              </w:rPr>
              <w:t>Volume</w:t>
            </w:r>
            <w:proofErr w:type="spellEnd"/>
            <w:r>
              <w:rPr>
                <w:rStyle w:val="Other1"/>
              </w:rPr>
              <w:t xml:space="preserve"> Bonus </w:t>
            </w:r>
            <w:proofErr w:type="spellStart"/>
            <w:r>
              <w:rPr>
                <w:rStyle w:val="Other1"/>
              </w:rPr>
              <w:t>Agreement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for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supply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of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medicinal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products</w:t>
            </w:r>
            <w:proofErr w:type="spellEnd"/>
            <w:r>
              <w:rPr>
                <w:rStyle w:val="Other1"/>
              </w:rPr>
              <w:t xml:space="preserve"> (</w:t>
            </w:r>
            <w:proofErr w:type="spellStart"/>
            <w:r>
              <w:rPr>
                <w:rStyle w:val="Other1"/>
              </w:rPr>
              <w:t>hereinafter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referred</w:t>
            </w:r>
            <w:proofErr w:type="spellEnd"/>
            <w:r>
              <w:rPr>
                <w:rStyle w:val="Other1"/>
              </w:rPr>
              <w:t xml:space="preserve"> to as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r>
              <w:rPr>
                <w:rStyle w:val="Other1"/>
                <w:b/>
                <w:bCs/>
              </w:rPr>
              <w:t>"</w:t>
            </w:r>
            <w:proofErr w:type="spellStart"/>
            <w:r>
              <w:rPr>
                <w:rStyle w:val="Other1"/>
                <w:b/>
                <w:bCs/>
              </w:rPr>
              <w:t>Agreement</w:t>
            </w:r>
            <w:proofErr w:type="spellEnd"/>
            <w:r>
              <w:rPr>
                <w:rStyle w:val="Other1"/>
                <w:b/>
                <w:bCs/>
              </w:rPr>
              <w:t xml:space="preserve">") </w:t>
            </w:r>
            <w:r>
              <w:rPr>
                <w:rStyle w:val="Other1"/>
              </w:rPr>
              <w:t xml:space="preserve">in </w:t>
            </w:r>
            <w:proofErr w:type="spellStart"/>
            <w:r>
              <w:rPr>
                <w:rStyle w:val="Other1"/>
              </w:rPr>
              <w:t>accordance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with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Section</w:t>
            </w:r>
            <w:proofErr w:type="spellEnd"/>
            <w:r>
              <w:rPr>
                <w:rStyle w:val="Other1"/>
              </w:rPr>
              <w:t xml:space="preserve"> 1746(2) </w:t>
            </w:r>
            <w:proofErr w:type="spellStart"/>
            <w:r>
              <w:rPr>
                <w:rStyle w:val="Other1"/>
              </w:rPr>
              <w:t>of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Act</w:t>
            </w:r>
            <w:proofErr w:type="spellEnd"/>
            <w:r>
              <w:rPr>
                <w:rStyle w:val="Other1"/>
              </w:rPr>
              <w:t xml:space="preserve"> No. 89/2012 </w:t>
            </w:r>
            <w:proofErr w:type="spellStart"/>
            <w:r>
              <w:rPr>
                <w:rStyle w:val="Other1"/>
              </w:rPr>
              <w:t>Coll</w:t>
            </w:r>
            <w:proofErr w:type="spellEnd"/>
            <w:r>
              <w:rPr>
                <w:rStyle w:val="Other1"/>
              </w:rPr>
              <w:t xml:space="preserve">.,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Civil </w:t>
            </w:r>
            <w:proofErr w:type="spellStart"/>
            <w:r>
              <w:rPr>
                <w:rStyle w:val="Other1"/>
              </w:rPr>
              <w:t>Code</w:t>
            </w:r>
            <w:proofErr w:type="spellEnd"/>
            <w:r>
              <w:rPr>
                <w:rStyle w:val="Other1"/>
              </w:rPr>
              <w:t xml:space="preserve">, as </w:t>
            </w:r>
            <w:proofErr w:type="spellStart"/>
            <w:r>
              <w:rPr>
                <w:rStyle w:val="Other1"/>
              </w:rPr>
              <w:t>amended</w:t>
            </w:r>
            <w:proofErr w:type="spellEnd"/>
            <w:r>
              <w:rPr>
                <w:rStyle w:val="Other1"/>
              </w:rPr>
              <w:t xml:space="preserve"> (</w:t>
            </w:r>
            <w:proofErr w:type="spellStart"/>
            <w:r>
              <w:rPr>
                <w:rStyle w:val="Other1"/>
              </w:rPr>
              <w:t>hereinafter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referred</w:t>
            </w:r>
            <w:proofErr w:type="spellEnd"/>
            <w:r>
              <w:rPr>
                <w:rStyle w:val="Other1"/>
              </w:rPr>
              <w:t xml:space="preserve"> to as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r>
              <w:rPr>
                <w:rStyle w:val="Other1"/>
                <w:b/>
                <w:bCs/>
              </w:rPr>
              <w:t xml:space="preserve">"Civil </w:t>
            </w:r>
            <w:proofErr w:type="spellStart"/>
            <w:r>
              <w:rPr>
                <w:rStyle w:val="Other1"/>
                <w:b/>
                <w:bCs/>
              </w:rPr>
              <w:t>Code</w:t>
            </w:r>
            <w:proofErr w:type="spellEnd"/>
            <w:r>
              <w:rPr>
                <w:rStyle w:val="Other1"/>
                <w:b/>
                <w:bCs/>
              </w:rPr>
              <w:t>").</w:t>
            </w:r>
          </w:p>
          <w:p w14:paraId="2FA520E4" w14:textId="77777777" w:rsidR="00BA21D7" w:rsidRDefault="00000000">
            <w:pPr>
              <w:pStyle w:val="Other10"/>
              <w:numPr>
                <w:ilvl w:val="0"/>
                <w:numId w:val="3"/>
              </w:numPr>
              <w:tabs>
                <w:tab w:val="left" w:pos="266"/>
              </w:tabs>
              <w:spacing w:after="480" w:line="252" w:lineRule="auto"/>
              <w:ind w:left="360" w:hanging="360"/>
              <w:jc w:val="both"/>
            </w:pP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contractual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parties</w:t>
            </w:r>
            <w:proofErr w:type="spellEnd"/>
            <w:r>
              <w:rPr>
                <w:rStyle w:val="Other1"/>
              </w:rPr>
              <w:t xml:space="preserve"> háve </w:t>
            </w:r>
            <w:proofErr w:type="spellStart"/>
            <w:r>
              <w:rPr>
                <w:rStyle w:val="Other1"/>
              </w:rPr>
              <w:t>therefore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decided</w:t>
            </w:r>
            <w:proofErr w:type="spellEnd"/>
            <w:r>
              <w:rPr>
                <w:rStyle w:val="Other1"/>
              </w:rPr>
              <w:t xml:space="preserve"> to </w:t>
            </w:r>
            <w:proofErr w:type="spellStart"/>
            <w:r>
              <w:rPr>
                <w:rStyle w:val="Other1"/>
              </w:rPr>
              <w:t>conclude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this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written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numbered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Amendment</w:t>
            </w:r>
            <w:proofErr w:type="spellEnd"/>
            <w:r>
              <w:rPr>
                <w:rStyle w:val="Other1"/>
              </w:rPr>
              <w:t xml:space="preserve"> in </w:t>
            </w:r>
            <w:proofErr w:type="spellStart"/>
            <w:r>
              <w:rPr>
                <w:rStyle w:val="Other1"/>
              </w:rPr>
              <w:t>accordance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with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Article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proofErr w:type="gramStart"/>
            <w:r>
              <w:rPr>
                <w:rStyle w:val="Other1"/>
              </w:rPr>
              <w:t>Vl</w:t>
            </w:r>
            <w:proofErr w:type="spellEnd"/>
            <w:r>
              <w:rPr>
                <w:rStyle w:val="Other1"/>
              </w:rPr>
              <w:t>(</w:t>
            </w:r>
            <w:proofErr w:type="gramEnd"/>
            <w:r>
              <w:rPr>
                <w:rStyle w:val="Other1"/>
              </w:rPr>
              <w:t xml:space="preserve">6) </w:t>
            </w:r>
            <w:proofErr w:type="spellStart"/>
            <w:r>
              <w:rPr>
                <w:rStyle w:val="Other1"/>
              </w:rPr>
              <w:t>of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Agreement</w:t>
            </w:r>
            <w:proofErr w:type="spellEnd"/>
            <w:r>
              <w:rPr>
                <w:rStyle w:val="Other1"/>
              </w:rPr>
              <w:t>.</w:t>
            </w:r>
          </w:p>
          <w:p w14:paraId="6CEB8951" w14:textId="77777777" w:rsidR="00BA21D7" w:rsidRDefault="00000000">
            <w:pPr>
              <w:pStyle w:val="Other10"/>
              <w:spacing w:line="252" w:lineRule="auto"/>
              <w:jc w:val="center"/>
            </w:pPr>
            <w:r>
              <w:rPr>
                <w:rStyle w:val="Other1"/>
                <w:b/>
                <w:bCs/>
              </w:rPr>
              <w:t>II</w:t>
            </w:r>
          </w:p>
          <w:p w14:paraId="22FFD500" w14:textId="77777777" w:rsidR="00BA21D7" w:rsidRDefault="00000000">
            <w:pPr>
              <w:pStyle w:val="Other10"/>
              <w:spacing w:after="240" w:line="252" w:lineRule="auto"/>
              <w:jc w:val="center"/>
            </w:pPr>
            <w:proofErr w:type="spellStart"/>
            <w:r>
              <w:rPr>
                <w:rStyle w:val="Other1"/>
                <w:b/>
                <w:bCs/>
              </w:rPr>
              <w:t>Subject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Matter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of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Amendment</w:t>
            </w:r>
            <w:proofErr w:type="spellEnd"/>
          </w:p>
          <w:p w14:paraId="4B9B1C1E" w14:textId="77777777" w:rsidR="00BA21D7" w:rsidRDefault="00000000">
            <w:pPr>
              <w:pStyle w:val="Other10"/>
              <w:numPr>
                <w:ilvl w:val="0"/>
                <w:numId w:val="4"/>
              </w:numPr>
              <w:tabs>
                <w:tab w:val="left" w:pos="281"/>
              </w:tabs>
              <w:spacing w:after="240" w:line="252" w:lineRule="auto"/>
              <w:ind w:left="360" w:hanging="360"/>
              <w:jc w:val="both"/>
            </w:pP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contractual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parties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agree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that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Article</w:t>
            </w:r>
            <w:proofErr w:type="spellEnd"/>
            <w:r>
              <w:rPr>
                <w:rStyle w:val="Other1"/>
              </w:rPr>
              <w:t xml:space="preserve"> 111(10) </w:t>
            </w:r>
            <w:proofErr w:type="spellStart"/>
            <w:r>
              <w:rPr>
                <w:rStyle w:val="Other1"/>
              </w:rPr>
              <w:t>of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Agreement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shall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be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amended</w:t>
            </w:r>
            <w:proofErr w:type="spellEnd"/>
            <w:r>
              <w:rPr>
                <w:rStyle w:val="Other1"/>
              </w:rPr>
              <w:t xml:space="preserve"> as </w:t>
            </w:r>
            <w:proofErr w:type="spellStart"/>
            <w:r>
              <w:rPr>
                <w:rStyle w:val="Other1"/>
              </w:rPr>
              <w:t>follows</w:t>
            </w:r>
            <w:proofErr w:type="spellEnd"/>
            <w:r>
              <w:rPr>
                <w:rStyle w:val="Other1"/>
              </w:rPr>
              <w:t>:</w:t>
            </w:r>
          </w:p>
          <w:p w14:paraId="189290CE" w14:textId="77777777" w:rsidR="00BA21D7" w:rsidRDefault="00000000">
            <w:pPr>
              <w:pStyle w:val="Other10"/>
              <w:spacing w:line="252" w:lineRule="auto"/>
              <w:ind w:left="360" w:firstLine="20"/>
              <w:jc w:val="both"/>
            </w:pPr>
            <w:r>
              <w:rPr>
                <w:rStyle w:val="Other1"/>
                <w:i/>
                <w:iCs/>
              </w:rPr>
              <w:t xml:space="preserve">"10. </w:t>
            </w:r>
            <w:proofErr w:type="spellStart"/>
            <w:r>
              <w:rPr>
                <w:rStyle w:val="Other1"/>
                <w:i/>
                <w:iCs/>
              </w:rPr>
              <w:t>The</w:t>
            </w:r>
            <w:proofErr w:type="spellEnd"/>
            <w:r>
              <w:rPr>
                <w:rStyle w:val="Other1"/>
                <w:i/>
                <w:iCs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</w:rPr>
              <w:t>contractual</w:t>
            </w:r>
            <w:proofErr w:type="spellEnd"/>
            <w:r>
              <w:rPr>
                <w:rStyle w:val="Other1"/>
                <w:i/>
                <w:iCs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</w:rPr>
              <w:t>parties</w:t>
            </w:r>
            <w:proofErr w:type="spellEnd"/>
            <w:r>
              <w:rPr>
                <w:rStyle w:val="Other1"/>
                <w:i/>
                <w:iCs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</w:rPr>
              <w:t>may</w:t>
            </w:r>
            <w:proofErr w:type="spellEnd"/>
            <w:r>
              <w:rPr>
                <w:rStyle w:val="Other1"/>
                <w:i/>
                <w:iCs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</w:rPr>
              <w:t>communicate</w:t>
            </w:r>
            <w:proofErr w:type="spellEnd"/>
            <w:r>
              <w:rPr>
                <w:rStyle w:val="Other1"/>
                <w:i/>
                <w:iCs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</w:rPr>
              <w:t>with</w:t>
            </w:r>
            <w:proofErr w:type="spellEnd"/>
            <w:r>
              <w:rPr>
                <w:rStyle w:val="Other1"/>
                <w:i/>
                <w:iCs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</w:rPr>
              <w:t>each</w:t>
            </w:r>
            <w:proofErr w:type="spellEnd"/>
            <w:r>
              <w:rPr>
                <w:rStyle w:val="Other1"/>
                <w:i/>
                <w:iCs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</w:rPr>
              <w:t>other</w:t>
            </w:r>
            <w:proofErr w:type="spellEnd"/>
            <w:r>
              <w:rPr>
                <w:rStyle w:val="Other1"/>
                <w:i/>
                <w:iCs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</w:rPr>
              <w:t>electronically</w:t>
            </w:r>
            <w:proofErr w:type="spellEnd"/>
            <w:r>
              <w:rPr>
                <w:rStyle w:val="Other1"/>
                <w:i/>
                <w:iCs/>
              </w:rPr>
              <w:t xml:space="preserve">, </w:t>
            </w:r>
            <w:proofErr w:type="spellStart"/>
            <w:r>
              <w:rPr>
                <w:rStyle w:val="Other1"/>
                <w:i/>
                <w:iCs/>
              </w:rPr>
              <w:t>i.e</w:t>
            </w:r>
            <w:proofErr w:type="spellEnd"/>
            <w:r>
              <w:rPr>
                <w:rStyle w:val="Other1"/>
                <w:i/>
                <w:iCs/>
              </w:rPr>
              <w:t xml:space="preserve">. by </w:t>
            </w:r>
            <w:proofErr w:type="spellStart"/>
            <w:r>
              <w:rPr>
                <w:rStyle w:val="Other1"/>
                <w:i/>
                <w:iCs/>
              </w:rPr>
              <w:t>sending</w:t>
            </w:r>
            <w:proofErr w:type="spellEnd"/>
            <w:r>
              <w:rPr>
                <w:rStyle w:val="Other1"/>
                <w:i/>
                <w:iCs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</w:rPr>
              <w:t>messages</w:t>
            </w:r>
            <w:proofErr w:type="spellEnd"/>
            <w:r>
              <w:rPr>
                <w:rStyle w:val="Other1"/>
                <w:i/>
                <w:iCs/>
              </w:rPr>
              <w:t xml:space="preserve"> to </w:t>
            </w:r>
            <w:proofErr w:type="spellStart"/>
            <w:r>
              <w:rPr>
                <w:rStyle w:val="Other1"/>
                <w:i/>
                <w:iCs/>
              </w:rPr>
              <w:t>the</w:t>
            </w:r>
            <w:proofErr w:type="spellEnd"/>
            <w:r>
              <w:rPr>
                <w:rStyle w:val="Other1"/>
                <w:i/>
                <w:iCs/>
              </w:rPr>
              <w:t xml:space="preserve"> e-mail </w:t>
            </w:r>
            <w:proofErr w:type="spellStart"/>
            <w:r>
              <w:rPr>
                <w:rStyle w:val="Other1"/>
                <w:i/>
                <w:iCs/>
              </w:rPr>
              <w:t>address</w:t>
            </w:r>
            <w:proofErr w:type="spellEnd"/>
            <w:r>
              <w:rPr>
                <w:rStyle w:val="Other1"/>
                <w:i/>
                <w:iCs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</w:rPr>
              <w:t>of</w:t>
            </w:r>
            <w:proofErr w:type="spellEnd"/>
            <w:r>
              <w:rPr>
                <w:rStyle w:val="Other1"/>
                <w:i/>
                <w:iCs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</w:rPr>
              <w:t>the</w:t>
            </w:r>
            <w:proofErr w:type="spellEnd"/>
            <w:r>
              <w:rPr>
                <w:rStyle w:val="Other1"/>
                <w:i/>
                <w:iCs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</w:rPr>
              <w:t>other</w:t>
            </w:r>
            <w:proofErr w:type="spellEnd"/>
            <w:r>
              <w:rPr>
                <w:rStyle w:val="Other1"/>
                <w:i/>
                <w:iCs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</w:rPr>
              <w:t>contractual</w:t>
            </w:r>
            <w:proofErr w:type="spellEnd"/>
            <w:r>
              <w:rPr>
                <w:rStyle w:val="Other1"/>
                <w:i/>
                <w:iCs/>
              </w:rPr>
              <w:t xml:space="preserve"> party, to </w:t>
            </w:r>
            <w:proofErr w:type="spellStart"/>
            <w:r>
              <w:rPr>
                <w:rStyle w:val="Other1"/>
                <w:i/>
                <w:iCs/>
              </w:rPr>
              <w:t>the</w:t>
            </w:r>
            <w:proofErr w:type="spellEnd"/>
            <w:r>
              <w:rPr>
                <w:rStyle w:val="Other1"/>
                <w:i/>
                <w:iCs/>
              </w:rPr>
              <w:t xml:space="preserve"> e-mail </w:t>
            </w:r>
            <w:proofErr w:type="spellStart"/>
            <w:r>
              <w:rPr>
                <w:rStyle w:val="Other1"/>
                <w:i/>
                <w:iCs/>
              </w:rPr>
              <w:t>addresses</w:t>
            </w:r>
            <w:proofErr w:type="spellEnd"/>
            <w:r>
              <w:rPr>
                <w:rStyle w:val="Other1"/>
                <w:i/>
                <w:iCs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</w:rPr>
              <w:t>specified</w:t>
            </w:r>
            <w:proofErr w:type="spellEnd"/>
            <w:r>
              <w:rPr>
                <w:rStyle w:val="Other1"/>
                <w:i/>
                <w:iCs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</w:rPr>
              <w:t>herein</w:t>
            </w:r>
            <w:proofErr w:type="spellEnd"/>
            <w:r>
              <w:rPr>
                <w:rStyle w:val="Other1"/>
                <w:i/>
                <w:iCs/>
              </w:rPr>
              <w:t>:</w:t>
            </w:r>
          </w:p>
          <w:p w14:paraId="49C9E383" w14:textId="77777777" w:rsidR="00BA21D7" w:rsidRDefault="00000000">
            <w:pPr>
              <w:pStyle w:val="Other10"/>
              <w:tabs>
                <w:tab w:val="left" w:pos="1685"/>
              </w:tabs>
              <w:spacing w:line="252" w:lineRule="auto"/>
              <w:ind w:firstLine="360"/>
              <w:jc w:val="both"/>
            </w:pPr>
            <w:proofErr w:type="spellStart"/>
            <w:r>
              <w:rPr>
                <w:rStyle w:val="Other1"/>
                <w:i/>
                <w:iCs/>
              </w:rPr>
              <w:t>Supplier</w:t>
            </w:r>
            <w:proofErr w:type="spellEnd"/>
            <w:r>
              <w:rPr>
                <w:rStyle w:val="Other1"/>
                <w:i/>
                <w:iCs/>
              </w:rPr>
              <w:t>:</w:t>
            </w:r>
            <w:r>
              <w:rPr>
                <w:rStyle w:val="Other1"/>
                <w:i/>
                <w:iCs/>
              </w:rPr>
              <w:tab/>
            </w:r>
            <w:proofErr w:type="spellStart"/>
            <w:r>
              <w:rPr>
                <w:rStyle w:val="Other1"/>
                <w:i/>
                <w:iCs/>
              </w:rPr>
              <w:t>radovan</w:t>
            </w:r>
            <w:proofErr w:type="spellEnd"/>
            <w:r>
              <w:rPr>
                <w:rStyle w:val="Other1"/>
                <w:i/>
                <w:iCs/>
              </w:rPr>
              <w:t xml:space="preserve">. </w:t>
            </w:r>
            <w:proofErr w:type="spellStart"/>
            <w:r>
              <w:rPr>
                <w:rStyle w:val="Other1"/>
                <w:i/>
                <w:iCs/>
              </w:rPr>
              <w:t>tiller@boehringer</w:t>
            </w:r>
            <w:proofErr w:type="spellEnd"/>
            <w:r>
              <w:rPr>
                <w:rStyle w:val="Other1"/>
                <w:i/>
                <w:iCs/>
              </w:rPr>
              <w:t>-</w:t>
            </w:r>
          </w:p>
          <w:p w14:paraId="6129E6AA" w14:textId="77777777" w:rsidR="00BA21D7" w:rsidRDefault="00000000">
            <w:pPr>
              <w:pStyle w:val="Other10"/>
              <w:spacing w:line="252" w:lineRule="auto"/>
              <w:ind w:firstLine="360"/>
              <w:jc w:val="both"/>
            </w:pPr>
            <w:r>
              <w:rPr>
                <w:rStyle w:val="Other1"/>
                <w:i/>
                <w:iCs/>
                <w:lang w:val="en-US" w:eastAsia="en-US" w:bidi="en-US"/>
              </w:rPr>
              <w:t>ingelheim.com</w:t>
            </w:r>
          </w:p>
          <w:p w14:paraId="1F82EBF0" w14:textId="77777777" w:rsidR="00BA21D7" w:rsidRDefault="00000000">
            <w:pPr>
              <w:pStyle w:val="Other10"/>
              <w:spacing w:after="240" w:line="252" w:lineRule="auto"/>
              <w:ind w:left="360" w:firstLine="20"/>
            </w:pPr>
            <w:proofErr w:type="spellStart"/>
            <w:r>
              <w:rPr>
                <w:rStyle w:val="Other1"/>
                <w:i/>
                <w:iCs/>
              </w:rPr>
              <w:t>Customer</w:t>
            </w:r>
            <w:proofErr w:type="spellEnd"/>
            <w:r>
              <w:rPr>
                <w:rStyle w:val="Other1"/>
                <w:i/>
                <w:iCs/>
              </w:rPr>
              <w:t xml:space="preserve">: </w:t>
            </w:r>
            <w:proofErr w:type="spellStart"/>
            <w:r>
              <w:rPr>
                <w:rStyle w:val="Other1"/>
                <w:i/>
                <w:iCs/>
              </w:rPr>
              <w:t>lubos</w:t>
            </w:r>
            <w:proofErr w:type="spellEnd"/>
            <w:r>
              <w:rPr>
                <w:rStyle w:val="Other1"/>
                <w:i/>
                <w:iCs/>
              </w:rPr>
              <w:t xml:space="preserve">. </w:t>
            </w:r>
            <w:proofErr w:type="spellStart"/>
            <w:r>
              <w:rPr>
                <w:rStyle w:val="Other1"/>
                <w:i/>
                <w:iCs/>
              </w:rPr>
              <w:t>vejmola@nemhav</w:t>
            </w:r>
            <w:proofErr w:type="spellEnd"/>
            <w:r>
              <w:rPr>
                <w:rStyle w:val="Other1"/>
                <w:i/>
                <w:iCs/>
              </w:rPr>
              <w:t xml:space="preserve">. </w:t>
            </w:r>
            <w:proofErr w:type="spellStart"/>
            <w:r>
              <w:rPr>
                <w:rStyle w:val="Other1"/>
                <w:i/>
                <w:iCs/>
              </w:rPr>
              <w:t>cz</w:t>
            </w:r>
            <w:proofErr w:type="spellEnd"/>
            <w:r>
              <w:rPr>
                <w:rStyle w:val="Other1"/>
                <w:i/>
                <w:iCs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</w:rPr>
              <w:t>Electronic</w:t>
            </w:r>
            <w:proofErr w:type="spellEnd"/>
            <w:r>
              <w:rPr>
                <w:rStyle w:val="Other1"/>
                <w:i/>
                <w:iCs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</w:rPr>
              <w:t>communication</w:t>
            </w:r>
            <w:proofErr w:type="spellEnd"/>
            <w:r>
              <w:rPr>
                <w:rStyle w:val="Other1"/>
                <w:i/>
                <w:iCs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</w:rPr>
              <w:t>shall</w:t>
            </w:r>
            <w:proofErr w:type="spellEnd"/>
            <w:r>
              <w:rPr>
                <w:rStyle w:val="Other1"/>
                <w:i/>
                <w:iCs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</w:rPr>
              <w:t>be</w:t>
            </w:r>
            <w:proofErr w:type="spellEnd"/>
            <w:r>
              <w:rPr>
                <w:rStyle w:val="Other1"/>
                <w:i/>
                <w:iCs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</w:rPr>
              <w:t>deemed</w:t>
            </w:r>
            <w:proofErr w:type="spellEnd"/>
            <w:r>
              <w:rPr>
                <w:rStyle w:val="Other1"/>
                <w:i/>
                <w:iCs/>
              </w:rPr>
              <w:t xml:space="preserve"> by </w:t>
            </w:r>
            <w:proofErr w:type="spellStart"/>
            <w:r>
              <w:rPr>
                <w:rStyle w:val="Other1"/>
                <w:i/>
                <w:iCs/>
              </w:rPr>
              <w:t>both</w:t>
            </w:r>
            <w:proofErr w:type="spellEnd"/>
            <w:r>
              <w:rPr>
                <w:rStyle w:val="Other1"/>
                <w:i/>
                <w:iCs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</w:rPr>
              <w:t>contractual</w:t>
            </w:r>
            <w:proofErr w:type="spellEnd"/>
            <w:r>
              <w:rPr>
                <w:rStyle w:val="Other1"/>
                <w:i/>
                <w:iCs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</w:rPr>
              <w:t>parties</w:t>
            </w:r>
            <w:proofErr w:type="spellEnd"/>
            <w:r>
              <w:rPr>
                <w:rStyle w:val="Other1"/>
                <w:i/>
                <w:iCs/>
              </w:rPr>
              <w:t xml:space="preserve"> to </w:t>
            </w:r>
            <w:proofErr w:type="spellStart"/>
            <w:r>
              <w:rPr>
                <w:rStyle w:val="Other1"/>
                <w:i/>
                <w:iCs/>
              </w:rPr>
              <w:t>be</w:t>
            </w:r>
            <w:proofErr w:type="spellEnd"/>
            <w:r>
              <w:rPr>
                <w:rStyle w:val="Other1"/>
                <w:i/>
                <w:iCs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</w:rPr>
              <w:t>communication</w:t>
            </w:r>
            <w:proofErr w:type="spellEnd"/>
            <w:r>
              <w:rPr>
                <w:rStyle w:val="Other1"/>
                <w:i/>
                <w:iCs/>
              </w:rPr>
              <w:t xml:space="preserve"> in </w:t>
            </w:r>
            <w:proofErr w:type="spellStart"/>
            <w:r>
              <w:rPr>
                <w:rStyle w:val="Other1"/>
                <w:i/>
                <w:iCs/>
              </w:rPr>
              <w:t>written</w:t>
            </w:r>
            <w:proofErr w:type="spellEnd"/>
            <w:r>
              <w:rPr>
                <w:rStyle w:val="Other1"/>
                <w:i/>
                <w:iCs/>
              </w:rPr>
              <w:t>."</w:t>
            </w:r>
          </w:p>
          <w:p w14:paraId="7CA22A67" w14:textId="77777777" w:rsidR="00BA21D7" w:rsidRDefault="00000000">
            <w:pPr>
              <w:pStyle w:val="Other10"/>
              <w:numPr>
                <w:ilvl w:val="0"/>
                <w:numId w:val="4"/>
              </w:numPr>
              <w:tabs>
                <w:tab w:val="left" w:pos="281"/>
              </w:tabs>
              <w:spacing w:after="240" w:line="252" w:lineRule="auto"/>
              <w:ind w:left="360" w:hanging="360"/>
              <w:jc w:val="both"/>
            </w:pP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contractual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parties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further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agree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that</w:t>
            </w:r>
            <w:proofErr w:type="spellEnd"/>
            <w:r>
              <w:rPr>
                <w:rStyle w:val="Other1"/>
              </w:rPr>
              <w:t xml:space="preserve"> as </w:t>
            </w:r>
            <w:proofErr w:type="spellStart"/>
            <w:r>
              <w:rPr>
                <w:rStyle w:val="Other1"/>
              </w:rPr>
              <w:t>of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January</w:t>
            </w:r>
            <w:proofErr w:type="spellEnd"/>
            <w:r>
              <w:rPr>
                <w:rStyle w:val="Other1"/>
              </w:rPr>
              <w:t xml:space="preserve"> 1,2025, </w:t>
            </w:r>
            <w:proofErr w:type="spellStart"/>
            <w:r>
              <w:rPr>
                <w:rStyle w:val="Other1"/>
              </w:rPr>
              <w:t>Annex</w:t>
            </w:r>
            <w:proofErr w:type="spellEnd"/>
            <w:r>
              <w:rPr>
                <w:rStyle w:val="Other1"/>
              </w:rPr>
              <w:t xml:space="preserve"> No. 1 to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Agreement</w:t>
            </w:r>
            <w:proofErr w:type="spellEnd"/>
            <w:r>
              <w:rPr>
                <w:rStyle w:val="Other1"/>
              </w:rPr>
              <w:t xml:space="preserve">, </w:t>
            </w:r>
            <w:proofErr w:type="spellStart"/>
            <w:r>
              <w:rPr>
                <w:rStyle w:val="Other1"/>
              </w:rPr>
              <w:t>entitled</w:t>
            </w:r>
            <w:proofErr w:type="spellEnd"/>
            <w:r>
              <w:rPr>
                <w:rStyle w:val="Other1"/>
              </w:rPr>
              <w:t xml:space="preserve"> " Model and </w:t>
            </w:r>
            <w:proofErr w:type="spellStart"/>
            <w:r>
              <w:rPr>
                <w:rStyle w:val="Other1"/>
              </w:rPr>
              <w:t>Calculation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ofthe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Tradeadvantage</w:t>
            </w:r>
            <w:proofErr w:type="spellEnd"/>
            <w:r>
              <w:rPr>
                <w:rStyle w:val="Other1"/>
              </w:rPr>
              <w:t xml:space="preserve">", </w:t>
            </w:r>
            <w:proofErr w:type="spellStart"/>
            <w:r>
              <w:rPr>
                <w:rStyle w:val="Other1"/>
              </w:rPr>
              <w:t>shall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be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amended</w:t>
            </w:r>
            <w:proofErr w:type="spellEnd"/>
            <w:r>
              <w:rPr>
                <w:rStyle w:val="Other1"/>
              </w:rPr>
              <w:t xml:space="preserve"> by </w:t>
            </w:r>
            <w:proofErr w:type="spellStart"/>
            <w:r>
              <w:rPr>
                <w:rStyle w:val="Other1"/>
              </w:rPr>
              <w:t>replacing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Annex</w:t>
            </w:r>
            <w:proofErr w:type="spellEnd"/>
            <w:r>
              <w:rPr>
                <w:rStyle w:val="Other1"/>
              </w:rPr>
              <w:t xml:space="preserve"> No. 1 to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Agreement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with</w:t>
            </w:r>
            <w:proofErr w:type="spellEnd"/>
            <w:r>
              <w:rPr>
                <w:rStyle w:val="Other1"/>
              </w:rPr>
              <w:t xml:space="preserve"> a </w:t>
            </w:r>
            <w:proofErr w:type="spellStart"/>
            <w:r>
              <w:rPr>
                <w:rStyle w:val="Other1"/>
              </w:rPr>
              <w:t>new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Annex</w:t>
            </w:r>
            <w:proofErr w:type="spellEnd"/>
            <w:r>
              <w:rPr>
                <w:rStyle w:val="Other1"/>
              </w:rPr>
              <w:t xml:space="preserve"> No. 1 to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Agreement</w:t>
            </w:r>
            <w:proofErr w:type="spellEnd"/>
            <w:r>
              <w:rPr>
                <w:rStyle w:val="Other1"/>
              </w:rPr>
              <w:t xml:space="preserve"> as </w:t>
            </w:r>
            <w:proofErr w:type="spellStart"/>
            <w:r>
              <w:rPr>
                <w:rStyle w:val="Other1"/>
              </w:rPr>
              <w:t>of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January</w:t>
            </w:r>
            <w:proofErr w:type="spellEnd"/>
            <w:r>
              <w:rPr>
                <w:rStyle w:val="Other1"/>
              </w:rPr>
              <w:t xml:space="preserve"> 1, 2025, as set </w:t>
            </w:r>
            <w:proofErr w:type="spellStart"/>
            <w:r>
              <w:rPr>
                <w:rStyle w:val="Other1"/>
              </w:rPr>
              <w:t>forth</w:t>
            </w:r>
            <w:proofErr w:type="spellEnd"/>
            <w:r>
              <w:rPr>
                <w:rStyle w:val="Other1"/>
              </w:rPr>
              <w:t xml:space="preserve"> in </w:t>
            </w:r>
            <w:proofErr w:type="spellStart"/>
            <w:r>
              <w:rPr>
                <w:rStyle w:val="Other1"/>
              </w:rPr>
              <w:t>Annex</w:t>
            </w:r>
            <w:proofErr w:type="spellEnd"/>
            <w:r>
              <w:rPr>
                <w:rStyle w:val="Other1"/>
              </w:rPr>
              <w:t xml:space="preserve"> No. 1 to </w:t>
            </w:r>
            <w:proofErr w:type="spellStart"/>
            <w:r>
              <w:rPr>
                <w:rStyle w:val="Other1"/>
              </w:rPr>
              <w:t>this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Amendment</w:t>
            </w:r>
            <w:proofErr w:type="spellEnd"/>
            <w:r>
              <w:rPr>
                <w:rStyle w:val="Other1"/>
              </w:rPr>
              <w:t>.</w:t>
            </w:r>
          </w:p>
        </w:tc>
      </w:tr>
    </w:tbl>
    <w:p w14:paraId="183967A6" w14:textId="77777777" w:rsidR="00BA21D7" w:rsidRDefault="00BA21D7">
      <w:pPr>
        <w:sectPr w:rsidR="00BA21D7">
          <w:type w:val="continuous"/>
          <w:pgSz w:w="11900" w:h="16840"/>
          <w:pgMar w:top="1071" w:right="1013" w:bottom="1154" w:left="1361" w:header="0" w:footer="3" w:gutter="0"/>
          <w:cols w:space="720"/>
          <w:noEndnote/>
          <w:docGrid w:linePitch="360"/>
        </w:sectPr>
      </w:pPr>
    </w:p>
    <w:p w14:paraId="6D4A0479" w14:textId="77777777" w:rsidR="00BA21D7" w:rsidRDefault="00000000">
      <w:pPr>
        <w:pStyle w:val="Bodytext10"/>
        <w:numPr>
          <w:ilvl w:val="0"/>
          <w:numId w:val="5"/>
        </w:numPr>
        <w:tabs>
          <w:tab w:val="left" w:pos="302"/>
        </w:tabs>
        <w:spacing w:after="0"/>
        <w:ind w:left="280" w:hanging="280"/>
        <w:jc w:val="both"/>
      </w:pPr>
      <w:r>
        <w:rPr>
          <w:rStyle w:val="Bodytext1"/>
        </w:rPr>
        <w:lastRenderedPageBreak/>
        <w:t>Smluvní strany se dále dohodly, že od 1. 1. 2025 se stanou součástí Smlouvy nové podmínky obchodní spolupráce, jejichž znění tvoří přílohu č.1 tohoto Dodatku.</w:t>
      </w:r>
    </w:p>
    <w:p w14:paraId="4B9A8680" w14:textId="77777777" w:rsidR="00BA21D7" w:rsidRDefault="00000000">
      <w:pPr>
        <w:pStyle w:val="Bodytext10"/>
        <w:numPr>
          <w:ilvl w:val="0"/>
          <w:numId w:val="5"/>
        </w:numPr>
        <w:tabs>
          <w:tab w:val="left" w:pos="302"/>
        </w:tabs>
        <w:spacing w:after="0"/>
        <w:ind w:left="280" w:hanging="280"/>
        <w:jc w:val="both"/>
        <w:sectPr w:rsidR="00BA21D7">
          <w:pgSz w:w="11900" w:h="16840"/>
          <w:pgMar w:top="2476" w:right="1647" w:bottom="2226" w:left="1648" w:header="0" w:footer="3" w:gutter="0"/>
          <w:cols w:num="2" w:space="108"/>
          <w:noEndnote/>
          <w:docGrid w:linePitch="360"/>
        </w:sectPr>
      </w:pP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contractual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further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that</w:t>
      </w:r>
      <w:proofErr w:type="spellEnd"/>
      <w:r>
        <w:rPr>
          <w:rStyle w:val="Bodytext1"/>
        </w:rPr>
        <w:t xml:space="preserve"> as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January</w:t>
      </w:r>
      <w:proofErr w:type="spellEnd"/>
      <w:r>
        <w:rPr>
          <w:rStyle w:val="Bodytext1"/>
        </w:rPr>
        <w:t xml:space="preserve"> 1,2025,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new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Terms</w:t>
      </w:r>
      <w:proofErr w:type="spellEnd"/>
      <w:r>
        <w:rPr>
          <w:rStyle w:val="Bodytext1"/>
        </w:rPr>
        <w:t xml:space="preserve"> and </w:t>
      </w:r>
      <w:proofErr w:type="spellStart"/>
      <w:r>
        <w:rPr>
          <w:rStyle w:val="Bodytext1"/>
        </w:rPr>
        <w:t>Conditions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Business </w:t>
      </w:r>
      <w:proofErr w:type="spellStart"/>
      <w:r>
        <w:rPr>
          <w:rStyle w:val="Bodytext1"/>
        </w:rPr>
        <w:t>Cooperation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text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which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attached</w:t>
      </w:r>
      <w:proofErr w:type="spellEnd"/>
      <w:r>
        <w:rPr>
          <w:rStyle w:val="Bodytext1"/>
        </w:rPr>
        <w:t xml:space="preserve"> as </w:t>
      </w:r>
      <w:proofErr w:type="spellStart"/>
      <w:r>
        <w:rPr>
          <w:rStyle w:val="Bodytext1"/>
        </w:rPr>
        <w:t>Annex</w:t>
      </w:r>
      <w:proofErr w:type="spellEnd"/>
      <w:r>
        <w:rPr>
          <w:rStyle w:val="Bodytext1"/>
        </w:rPr>
        <w:t xml:space="preserve"> No. 1 to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Amendment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become</w:t>
      </w:r>
      <w:proofErr w:type="spellEnd"/>
      <w:r>
        <w:rPr>
          <w:rStyle w:val="Bodytext1"/>
        </w:rPr>
        <w:t xml:space="preserve"> part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>.</w:t>
      </w:r>
    </w:p>
    <w:p w14:paraId="0226AFC0" w14:textId="77777777" w:rsidR="00BA21D7" w:rsidRDefault="00BA21D7">
      <w:pPr>
        <w:spacing w:before="68" w:after="68" w:line="240" w:lineRule="exact"/>
        <w:rPr>
          <w:sz w:val="19"/>
          <w:szCs w:val="19"/>
        </w:rPr>
      </w:pPr>
    </w:p>
    <w:p w14:paraId="213104A9" w14:textId="77777777" w:rsidR="00BA21D7" w:rsidRDefault="00BA21D7">
      <w:pPr>
        <w:spacing w:line="1" w:lineRule="exact"/>
        <w:sectPr w:rsidR="00BA21D7">
          <w:type w:val="continuous"/>
          <w:pgSz w:w="11900" w:h="16840"/>
          <w:pgMar w:top="2476" w:right="0" w:bottom="2226" w:left="0" w:header="0" w:footer="3" w:gutter="0"/>
          <w:cols w:space="720"/>
          <w:noEndnote/>
          <w:docGrid w:linePitch="360"/>
        </w:sectPr>
      </w:pPr>
    </w:p>
    <w:p w14:paraId="708C8BCE" w14:textId="77777777" w:rsidR="00BA21D7" w:rsidRDefault="00BA21D7">
      <w:pPr>
        <w:pStyle w:val="Bodytext10"/>
        <w:numPr>
          <w:ilvl w:val="0"/>
          <w:numId w:val="6"/>
        </w:numPr>
        <w:spacing w:after="0"/>
        <w:jc w:val="center"/>
      </w:pPr>
    </w:p>
    <w:p w14:paraId="5ADC4875" w14:textId="77777777" w:rsidR="00BA21D7" w:rsidRDefault="00000000">
      <w:pPr>
        <w:pStyle w:val="Bodytext10"/>
        <w:jc w:val="center"/>
      </w:pPr>
      <w:r>
        <w:rPr>
          <w:rStyle w:val="Bodytext1"/>
          <w:b/>
          <w:bCs/>
        </w:rPr>
        <w:t>Registr smluv</w:t>
      </w:r>
    </w:p>
    <w:p w14:paraId="4FD49CA0" w14:textId="77777777" w:rsidR="00BA21D7" w:rsidRDefault="00000000">
      <w:pPr>
        <w:pStyle w:val="Bodytext10"/>
        <w:numPr>
          <w:ilvl w:val="0"/>
          <w:numId w:val="7"/>
        </w:numPr>
        <w:tabs>
          <w:tab w:val="left" w:pos="286"/>
        </w:tabs>
        <w:spacing w:after="480"/>
        <w:ind w:left="280" w:hanging="280"/>
        <w:jc w:val="both"/>
      </w:pPr>
      <w:r>
        <w:rPr>
          <w:rStyle w:val="Bodytext1"/>
        </w:rPr>
        <w:t xml:space="preserve">Smluvní strany se tímto dohodly, že v případě, že je nutné uveřejnit tento Dodatek podle ustanovení zákona č. 340/2015 Sb., o zvláštních podmínkách účinnosti některých smluv, uveřejňování těchto smluv a o registru smluv, ve znění pozdějších dodatků (dále jen </w:t>
      </w:r>
      <w:r>
        <w:rPr>
          <w:rStyle w:val="Bodytext1"/>
          <w:b/>
          <w:bCs/>
        </w:rPr>
        <w:t xml:space="preserve">„zákon o registru smluv“), </w:t>
      </w:r>
      <w:r>
        <w:rPr>
          <w:rStyle w:val="Bodytext1"/>
        </w:rPr>
        <w:t xml:space="preserve">je </w:t>
      </w:r>
      <w:proofErr w:type="spellStart"/>
      <w:r>
        <w:rPr>
          <w:rStyle w:val="Bodytext1"/>
        </w:rPr>
        <w:t>kjeho</w:t>
      </w:r>
      <w:proofErr w:type="spellEnd"/>
      <w:r>
        <w:rPr>
          <w:rStyle w:val="Bodytext1"/>
        </w:rPr>
        <w:t xml:space="preserve"> uveřejnění povinen odběratel.</w:t>
      </w:r>
    </w:p>
    <w:p w14:paraId="2A898416" w14:textId="77777777" w:rsidR="00BA21D7" w:rsidRDefault="00BA21D7">
      <w:pPr>
        <w:pStyle w:val="Bodytext10"/>
        <w:numPr>
          <w:ilvl w:val="0"/>
          <w:numId w:val="6"/>
        </w:numPr>
        <w:spacing w:after="0"/>
        <w:jc w:val="center"/>
      </w:pPr>
    </w:p>
    <w:p w14:paraId="789D1149" w14:textId="77777777" w:rsidR="00BA21D7" w:rsidRDefault="00000000">
      <w:pPr>
        <w:pStyle w:val="Bodytext10"/>
        <w:jc w:val="center"/>
      </w:pPr>
      <w:r>
        <w:rPr>
          <w:rStyle w:val="Bodytext1"/>
          <w:b/>
          <w:bCs/>
        </w:rPr>
        <w:t>Závěrečná ustanovení</w:t>
      </w:r>
    </w:p>
    <w:p w14:paraId="3CAD20CB" w14:textId="77777777" w:rsidR="00BA21D7" w:rsidRDefault="00000000">
      <w:pPr>
        <w:pStyle w:val="Bodytext10"/>
        <w:numPr>
          <w:ilvl w:val="0"/>
          <w:numId w:val="8"/>
        </w:numPr>
        <w:tabs>
          <w:tab w:val="left" w:pos="286"/>
        </w:tabs>
        <w:spacing w:after="720"/>
        <w:ind w:left="280" w:hanging="280"/>
        <w:jc w:val="both"/>
      </w:pPr>
      <w:r>
        <w:rPr>
          <w:rStyle w:val="Bodytext1"/>
        </w:rPr>
        <w:t>Dodatek nabývá platnosti dnem podpisu poslední ze smluvních stran a účinnosti dnem jejího uveřejnění v registru smluv dle zákona o registru smluv. Pravidla pro uplatnění bonusu podle tohoto Dodatku jsou platná od 1. 1.2025.</w:t>
      </w:r>
    </w:p>
    <w:p w14:paraId="58CFEE93" w14:textId="77777777" w:rsidR="00BA21D7" w:rsidRDefault="00000000">
      <w:pPr>
        <w:pStyle w:val="Bodytext10"/>
        <w:numPr>
          <w:ilvl w:val="0"/>
          <w:numId w:val="8"/>
        </w:numPr>
        <w:tabs>
          <w:tab w:val="left" w:pos="291"/>
        </w:tabs>
        <w:spacing w:line="240" w:lineRule="auto"/>
        <w:ind w:left="280" w:hanging="280"/>
        <w:jc w:val="both"/>
      </w:pPr>
      <w:r>
        <w:rPr>
          <w:rStyle w:val="Bodytext1"/>
        </w:rPr>
        <w:t>Tímto Dodatkem nedochází ke změně žádných jiných ustanovení Smlouvy.</w:t>
      </w:r>
    </w:p>
    <w:p w14:paraId="3C006DA5" w14:textId="77777777" w:rsidR="00BA21D7" w:rsidRDefault="00000000">
      <w:pPr>
        <w:pStyle w:val="Bodytext10"/>
        <w:numPr>
          <w:ilvl w:val="0"/>
          <w:numId w:val="8"/>
        </w:numPr>
        <w:tabs>
          <w:tab w:val="left" w:pos="286"/>
        </w:tabs>
        <w:spacing w:after="960"/>
        <w:ind w:left="280" w:hanging="280"/>
        <w:jc w:val="both"/>
      </w:pPr>
      <w:r>
        <w:rPr>
          <w:rStyle w:val="Bodytext1"/>
        </w:rPr>
        <w:t>Smluvní strany prohlašují, že si Dodatek před jeho podepsáním přečetly a že jeho obsah odpovídá jejich pravé, vážné a svobodné vůli, což stvrzují svými níže připojenými podpisy.</w:t>
      </w:r>
    </w:p>
    <w:p w14:paraId="777B3086" w14:textId="77777777" w:rsidR="00BA21D7" w:rsidRDefault="00000000">
      <w:pPr>
        <w:pStyle w:val="Bodytext10"/>
        <w:spacing w:after="360" w:line="240" w:lineRule="auto"/>
        <w:jc w:val="both"/>
      </w:pPr>
      <w:r>
        <w:rPr>
          <w:rStyle w:val="Bodytext1"/>
        </w:rPr>
        <w:t>Příloha č.1 - Vzor a výpočet obchodního zvýhodnění, Podmínky obchodní spolupráce</w:t>
      </w:r>
    </w:p>
    <w:p w14:paraId="4C017FDD" w14:textId="77777777" w:rsidR="00BA21D7" w:rsidRDefault="00000000">
      <w:pPr>
        <w:pStyle w:val="Bodytext10"/>
        <w:spacing w:after="0"/>
        <w:jc w:val="center"/>
      </w:pPr>
      <w:r>
        <w:rPr>
          <w:rStyle w:val="Bodytext1"/>
          <w:b/>
          <w:bCs/>
        </w:rPr>
        <w:t>III</w:t>
      </w:r>
    </w:p>
    <w:p w14:paraId="70930C70" w14:textId="77777777" w:rsidR="00BA21D7" w:rsidRDefault="00000000">
      <w:pPr>
        <w:pStyle w:val="Bodytext10"/>
        <w:jc w:val="center"/>
      </w:pPr>
      <w:proofErr w:type="spellStart"/>
      <w:r>
        <w:rPr>
          <w:rStyle w:val="Bodytext1"/>
          <w:b/>
          <w:bCs/>
        </w:rPr>
        <w:t>Register</w:t>
      </w:r>
      <w:proofErr w:type="spellEnd"/>
      <w:r>
        <w:rPr>
          <w:rStyle w:val="Bodytext1"/>
          <w:b/>
          <w:bCs/>
        </w:rPr>
        <w:t xml:space="preserve"> </w:t>
      </w:r>
      <w:proofErr w:type="spellStart"/>
      <w:r>
        <w:rPr>
          <w:rStyle w:val="Bodytext1"/>
          <w:b/>
          <w:bCs/>
        </w:rPr>
        <w:t>of</w:t>
      </w:r>
      <w:proofErr w:type="spellEnd"/>
      <w:r>
        <w:rPr>
          <w:rStyle w:val="Bodytext1"/>
          <w:b/>
          <w:bCs/>
        </w:rPr>
        <w:t xml:space="preserve"> </w:t>
      </w:r>
      <w:proofErr w:type="spellStart"/>
      <w:r>
        <w:rPr>
          <w:rStyle w:val="Bodytext1"/>
          <w:b/>
          <w:bCs/>
        </w:rPr>
        <w:t>Contracts</w:t>
      </w:r>
      <w:proofErr w:type="spellEnd"/>
    </w:p>
    <w:p w14:paraId="545105A5" w14:textId="77777777" w:rsidR="00BA21D7" w:rsidRDefault="00000000">
      <w:pPr>
        <w:pStyle w:val="Bodytext10"/>
        <w:ind w:left="340" w:hanging="340"/>
        <w:jc w:val="both"/>
      </w:pPr>
      <w:r>
        <w:rPr>
          <w:rStyle w:val="Bodytext1"/>
        </w:rPr>
        <w:t xml:space="preserve">1.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contractual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hereby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that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should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necessary</w:t>
      </w:r>
      <w:proofErr w:type="spellEnd"/>
      <w:r>
        <w:rPr>
          <w:rStyle w:val="Bodytext1"/>
        </w:rPr>
        <w:t xml:space="preserve"> to </w:t>
      </w:r>
      <w:proofErr w:type="spellStart"/>
      <w:r>
        <w:rPr>
          <w:rStyle w:val="Bodytext1"/>
        </w:rPr>
        <w:t>publish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Amendment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register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pursuant</w:t>
      </w:r>
      <w:proofErr w:type="spellEnd"/>
      <w:r>
        <w:rPr>
          <w:rStyle w:val="Bodytext1"/>
        </w:rPr>
        <w:t xml:space="preserve"> to </w:t>
      </w:r>
      <w:proofErr w:type="spellStart"/>
      <w:r>
        <w:rPr>
          <w:rStyle w:val="Bodytext1"/>
        </w:rPr>
        <w:t>Act</w:t>
      </w:r>
      <w:proofErr w:type="spellEnd"/>
      <w:r>
        <w:rPr>
          <w:rStyle w:val="Bodytext1"/>
        </w:rPr>
        <w:t xml:space="preserve"> No. 340/2015 </w:t>
      </w:r>
      <w:proofErr w:type="spellStart"/>
      <w:r>
        <w:rPr>
          <w:rStyle w:val="Bodytext1"/>
        </w:rPr>
        <w:t>Coll</w:t>
      </w:r>
      <w:proofErr w:type="spellEnd"/>
      <w:r>
        <w:rPr>
          <w:rStyle w:val="Bodytext1"/>
        </w:rPr>
        <w:t xml:space="preserve">., on speciál </w:t>
      </w:r>
      <w:proofErr w:type="spellStart"/>
      <w:r>
        <w:rPr>
          <w:rStyle w:val="Bodytext1"/>
        </w:rPr>
        <w:t>conditions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forthe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effectiveness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some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publication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these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, and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register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, as </w:t>
      </w:r>
      <w:proofErr w:type="spellStart"/>
      <w:r>
        <w:rPr>
          <w:rStyle w:val="Bodytext1"/>
        </w:rPr>
        <w:t>amended</w:t>
      </w:r>
      <w:proofErr w:type="spellEnd"/>
      <w:r>
        <w:rPr>
          <w:rStyle w:val="Bodytext1"/>
        </w:rPr>
        <w:t xml:space="preserve"> (</w:t>
      </w:r>
      <w:proofErr w:type="spellStart"/>
      <w:r>
        <w:rPr>
          <w:rStyle w:val="Bodytext1"/>
        </w:rPr>
        <w:t>hereinafter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referred</w:t>
      </w:r>
      <w:proofErr w:type="spellEnd"/>
      <w:r>
        <w:rPr>
          <w:rStyle w:val="Bodytext1"/>
        </w:rPr>
        <w:t xml:space="preserve"> to as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r>
        <w:rPr>
          <w:rStyle w:val="Bodytext1"/>
          <w:b/>
          <w:bCs/>
        </w:rPr>
        <w:t>“</w:t>
      </w:r>
      <w:proofErr w:type="spellStart"/>
      <w:r>
        <w:rPr>
          <w:rStyle w:val="Bodytext1"/>
          <w:b/>
          <w:bCs/>
        </w:rPr>
        <w:t>Act</w:t>
      </w:r>
      <w:proofErr w:type="spellEnd"/>
      <w:r>
        <w:rPr>
          <w:rStyle w:val="Bodytext1"/>
          <w:b/>
          <w:bCs/>
        </w:rPr>
        <w:t xml:space="preserve"> on </w:t>
      </w:r>
      <w:proofErr w:type="spellStart"/>
      <w:r>
        <w:rPr>
          <w:rStyle w:val="Bodytext1"/>
          <w:b/>
          <w:bCs/>
        </w:rPr>
        <w:t>the</w:t>
      </w:r>
      <w:proofErr w:type="spellEnd"/>
      <w:r>
        <w:rPr>
          <w:rStyle w:val="Bodytext1"/>
          <w:b/>
          <w:bCs/>
        </w:rPr>
        <w:t xml:space="preserve"> </w:t>
      </w:r>
      <w:proofErr w:type="spellStart"/>
      <w:r>
        <w:rPr>
          <w:rStyle w:val="Bodytext1"/>
          <w:b/>
          <w:bCs/>
        </w:rPr>
        <w:t>Register</w:t>
      </w:r>
      <w:proofErr w:type="spellEnd"/>
      <w:r>
        <w:rPr>
          <w:rStyle w:val="Bodytext1"/>
          <w:b/>
          <w:bCs/>
        </w:rPr>
        <w:t xml:space="preserve"> </w:t>
      </w:r>
      <w:proofErr w:type="spellStart"/>
      <w:r>
        <w:rPr>
          <w:rStyle w:val="Bodytext1"/>
          <w:b/>
          <w:bCs/>
        </w:rPr>
        <w:t>of</w:t>
      </w:r>
      <w:proofErr w:type="spellEnd"/>
      <w:r>
        <w:rPr>
          <w:rStyle w:val="Bodytext1"/>
          <w:b/>
          <w:bCs/>
        </w:rPr>
        <w:t xml:space="preserve"> </w:t>
      </w:r>
      <w:proofErr w:type="spellStart"/>
      <w:r>
        <w:rPr>
          <w:rStyle w:val="Bodytext1"/>
          <w:b/>
          <w:bCs/>
        </w:rPr>
        <w:t>Contracts</w:t>
      </w:r>
      <w:proofErr w:type="spellEnd"/>
      <w:r>
        <w:rPr>
          <w:rStyle w:val="Bodytext1"/>
          <w:b/>
          <w:bCs/>
        </w:rPr>
        <w:t xml:space="preserve">”),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customer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obliged</w:t>
      </w:r>
      <w:proofErr w:type="spellEnd"/>
      <w:r>
        <w:rPr>
          <w:rStyle w:val="Bodytext1"/>
        </w:rPr>
        <w:t xml:space="preserve"> to </w:t>
      </w:r>
      <w:proofErr w:type="spellStart"/>
      <w:r>
        <w:rPr>
          <w:rStyle w:val="Bodytext1"/>
        </w:rPr>
        <w:t>publish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Amendment</w:t>
      </w:r>
      <w:proofErr w:type="spellEnd"/>
      <w:r>
        <w:rPr>
          <w:rStyle w:val="Bodytext1"/>
        </w:rPr>
        <w:t>.</w:t>
      </w:r>
    </w:p>
    <w:p w14:paraId="43526694" w14:textId="77777777" w:rsidR="00BA21D7" w:rsidRDefault="00000000">
      <w:pPr>
        <w:pStyle w:val="Bodytext10"/>
        <w:spacing w:after="0"/>
        <w:jc w:val="center"/>
      </w:pPr>
      <w:r>
        <w:rPr>
          <w:rStyle w:val="Bodytext1"/>
          <w:b/>
          <w:bCs/>
        </w:rPr>
        <w:t>IV</w:t>
      </w:r>
    </w:p>
    <w:p w14:paraId="4B361B39" w14:textId="77777777" w:rsidR="00BA21D7" w:rsidRDefault="00000000">
      <w:pPr>
        <w:pStyle w:val="Bodytext10"/>
        <w:jc w:val="center"/>
      </w:pPr>
      <w:r>
        <w:rPr>
          <w:rStyle w:val="Bodytext1"/>
          <w:b/>
          <w:bCs/>
        </w:rPr>
        <w:t xml:space="preserve">Finál </w:t>
      </w:r>
      <w:proofErr w:type="spellStart"/>
      <w:r>
        <w:rPr>
          <w:rStyle w:val="Bodytext1"/>
          <w:b/>
          <w:bCs/>
        </w:rPr>
        <w:t>Provisions</w:t>
      </w:r>
      <w:proofErr w:type="spellEnd"/>
    </w:p>
    <w:p w14:paraId="75BF4347" w14:textId="77777777" w:rsidR="00BA21D7" w:rsidRDefault="00000000">
      <w:pPr>
        <w:pStyle w:val="Bodytext10"/>
        <w:numPr>
          <w:ilvl w:val="0"/>
          <w:numId w:val="9"/>
        </w:numPr>
        <w:tabs>
          <w:tab w:val="left" w:pos="277"/>
        </w:tabs>
        <w:ind w:left="340" w:hanging="340"/>
        <w:jc w:val="both"/>
      </w:pP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Amendment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enters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into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force</w:t>
      </w:r>
      <w:proofErr w:type="spellEnd"/>
      <w:r>
        <w:rPr>
          <w:rStyle w:val="Bodytext1"/>
        </w:rPr>
        <w:t xml:space="preserve"> by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dáte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signatuře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last </w:t>
      </w:r>
      <w:proofErr w:type="spellStart"/>
      <w:r>
        <w:rPr>
          <w:rStyle w:val="Bodytext1"/>
        </w:rPr>
        <w:t>contractual</w:t>
      </w:r>
      <w:proofErr w:type="spellEnd"/>
      <w:r>
        <w:rPr>
          <w:rStyle w:val="Bodytext1"/>
        </w:rPr>
        <w:t xml:space="preserve"> party and </w:t>
      </w:r>
      <w:proofErr w:type="spellStart"/>
      <w:r>
        <w:rPr>
          <w:rStyle w:val="Bodytext1"/>
        </w:rPr>
        <w:t>into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effect</w:t>
      </w:r>
      <w:proofErr w:type="spellEnd"/>
      <w:r>
        <w:rPr>
          <w:rStyle w:val="Bodytext1"/>
        </w:rPr>
        <w:t xml:space="preserve"> by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dáte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publication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registry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accorning</w:t>
      </w:r>
      <w:proofErr w:type="spellEnd"/>
      <w:r>
        <w:rPr>
          <w:rStyle w:val="Bodytext1"/>
        </w:rPr>
        <w:t xml:space="preserve"> to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Act</w:t>
      </w:r>
      <w:proofErr w:type="spellEnd"/>
      <w:r>
        <w:rPr>
          <w:rStyle w:val="Bodytext1"/>
        </w:rPr>
        <w:t xml:space="preserve"> on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Register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.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rules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applying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bonus </w:t>
      </w:r>
      <w:proofErr w:type="spellStart"/>
      <w:r>
        <w:rPr>
          <w:rStyle w:val="Bodytext1"/>
        </w:rPr>
        <w:t>under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Amendment</w:t>
      </w:r>
      <w:proofErr w:type="spellEnd"/>
      <w:r>
        <w:rPr>
          <w:rStyle w:val="Bodytext1"/>
        </w:rPr>
        <w:t xml:space="preserve"> are </w:t>
      </w:r>
      <w:proofErr w:type="spellStart"/>
      <w:r>
        <w:rPr>
          <w:rStyle w:val="Bodytext1"/>
        </w:rPr>
        <w:t>valid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from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January</w:t>
      </w:r>
      <w:proofErr w:type="spellEnd"/>
      <w:r>
        <w:rPr>
          <w:rStyle w:val="Bodytext1"/>
        </w:rPr>
        <w:t xml:space="preserve"> 1, 2025.</w:t>
      </w:r>
    </w:p>
    <w:p w14:paraId="4584F85F" w14:textId="77777777" w:rsidR="00BA21D7" w:rsidRDefault="00000000">
      <w:pPr>
        <w:pStyle w:val="Bodytext10"/>
        <w:numPr>
          <w:ilvl w:val="0"/>
          <w:numId w:val="9"/>
        </w:numPr>
        <w:tabs>
          <w:tab w:val="left" w:pos="291"/>
        </w:tabs>
        <w:spacing w:line="257" w:lineRule="auto"/>
        <w:ind w:left="340" w:hanging="340"/>
        <w:jc w:val="both"/>
      </w:pP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Amendment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does</w:t>
      </w:r>
      <w:proofErr w:type="spellEnd"/>
      <w:r>
        <w:rPr>
          <w:rStyle w:val="Bodytext1"/>
        </w:rPr>
        <w:t xml:space="preserve"> not </w:t>
      </w:r>
      <w:proofErr w:type="spellStart"/>
      <w:r>
        <w:rPr>
          <w:rStyle w:val="Bodytext1"/>
        </w:rPr>
        <w:t>modify</w:t>
      </w:r>
      <w:proofErr w:type="spellEnd"/>
      <w:r>
        <w:rPr>
          <w:rStyle w:val="Bodytext1"/>
        </w:rPr>
        <w:t xml:space="preserve"> any </w:t>
      </w:r>
      <w:proofErr w:type="spellStart"/>
      <w:r>
        <w:rPr>
          <w:rStyle w:val="Bodytext1"/>
        </w:rPr>
        <w:t>other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provisions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>.</w:t>
      </w:r>
    </w:p>
    <w:p w14:paraId="19393ED6" w14:textId="77777777" w:rsidR="00BA21D7" w:rsidRDefault="00000000">
      <w:pPr>
        <w:pStyle w:val="Bodytext10"/>
        <w:numPr>
          <w:ilvl w:val="0"/>
          <w:numId w:val="9"/>
        </w:numPr>
        <w:tabs>
          <w:tab w:val="left" w:pos="284"/>
        </w:tabs>
        <w:spacing w:after="480"/>
        <w:ind w:left="340" w:hanging="340"/>
        <w:jc w:val="both"/>
      </w:pP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contractual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declare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that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they</w:t>
      </w:r>
      <w:proofErr w:type="spellEnd"/>
      <w:r>
        <w:rPr>
          <w:rStyle w:val="Bodytext1"/>
        </w:rPr>
        <w:t xml:space="preserve"> háve </w:t>
      </w:r>
      <w:proofErr w:type="spellStart"/>
      <w:r>
        <w:rPr>
          <w:rStyle w:val="Bodytext1"/>
        </w:rPr>
        <w:t>read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Amendment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before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signing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it</w:t>
      </w:r>
      <w:proofErr w:type="spellEnd"/>
      <w:r>
        <w:rPr>
          <w:rStyle w:val="Bodytext1"/>
        </w:rPr>
        <w:t xml:space="preserve"> and </w:t>
      </w:r>
      <w:proofErr w:type="spellStart"/>
      <w:r>
        <w:rPr>
          <w:rStyle w:val="Bodytext1"/>
        </w:rPr>
        <w:t>that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contents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correspond</w:t>
      </w:r>
      <w:proofErr w:type="spellEnd"/>
      <w:r>
        <w:rPr>
          <w:rStyle w:val="Bodytext1"/>
        </w:rPr>
        <w:t xml:space="preserve"> to </w:t>
      </w:r>
      <w:proofErr w:type="spellStart"/>
      <w:r>
        <w:rPr>
          <w:rStyle w:val="Bodytext1"/>
        </w:rPr>
        <w:t>their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true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serious</w:t>
      </w:r>
      <w:proofErr w:type="spellEnd"/>
      <w:r>
        <w:rPr>
          <w:rStyle w:val="Bodytext1"/>
        </w:rPr>
        <w:t xml:space="preserve"> and free </w:t>
      </w:r>
      <w:proofErr w:type="spellStart"/>
      <w:r>
        <w:rPr>
          <w:rStyle w:val="Bodytext1"/>
        </w:rPr>
        <w:t>will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which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confirm</w:t>
      </w:r>
      <w:proofErr w:type="spellEnd"/>
      <w:r>
        <w:rPr>
          <w:rStyle w:val="Bodytext1"/>
        </w:rPr>
        <w:t xml:space="preserve"> by </w:t>
      </w:r>
      <w:proofErr w:type="spellStart"/>
      <w:r>
        <w:rPr>
          <w:rStyle w:val="Bodytext1"/>
        </w:rPr>
        <w:t>their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signatures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below</w:t>
      </w:r>
      <w:proofErr w:type="spellEnd"/>
      <w:r>
        <w:rPr>
          <w:rStyle w:val="Bodytext1"/>
        </w:rPr>
        <w:t>.</w:t>
      </w:r>
    </w:p>
    <w:p w14:paraId="442C67EA" w14:textId="77777777" w:rsidR="00BA21D7" w:rsidRDefault="00000000">
      <w:pPr>
        <w:pStyle w:val="Bodytext10"/>
        <w:spacing w:line="257" w:lineRule="auto"/>
        <w:jc w:val="both"/>
        <w:sectPr w:rsidR="00BA21D7">
          <w:type w:val="continuous"/>
          <w:pgSz w:w="11900" w:h="16840"/>
          <w:pgMar w:top="2476" w:right="1740" w:bottom="2226" w:left="1620" w:header="0" w:footer="3" w:gutter="0"/>
          <w:cols w:num="2" w:space="100"/>
          <w:noEndnote/>
          <w:docGrid w:linePitch="360"/>
        </w:sectPr>
      </w:pPr>
      <w:proofErr w:type="spellStart"/>
      <w:r>
        <w:rPr>
          <w:rStyle w:val="Bodytext1"/>
        </w:rPr>
        <w:t>Annex</w:t>
      </w:r>
      <w:proofErr w:type="spellEnd"/>
      <w:r>
        <w:rPr>
          <w:rStyle w:val="Bodytext1"/>
        </w:rPr>
        <w:t xml:space="preserve"> No. 1 - Model and </w:t>
      </w:r>
      <w:proofErr w:type="spellStart"/>
      <w:r>
        <w:rPr>
          <w:rStyle w:val="Bodytext1"/>
        </w:rPr>
        <w:t>Calculation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Trade </w:t>
      </w:r>
      <w:proofErr w:type="spellStart"/>
      <w:r>
        <w:rPr>
          <w:rStyle w:val="Bodytext1"/>
        </w:rPr>
        <w:t>advantage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Terms</w:t>
      </w:r>
      <w:proofErr w:type="spellEnd"/>
      <w:r>
        <w:rPr>
          <w:rStyle w:val="Bodytext1"/>
        </w:rPr>
        <w:t xml:space="preserve"> and </w:t>
      </w:r>
      <w:proofErr w:type="spellStart"/>
      <w:r>
        <w:rPr>
          <w:rStyle w:val="Bodytext1"/>
        </w:rPr>
        <w:t>Conditions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Business </w:t>
      </w:r>
      <w:proofErr w:type="spellStart"/>
      <w:r>
        <w:rPr>
          <w:rStyle w:val="Bodytext1"/>
        </w:rPr>
        <w:t>Cooperation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2"/>
        <w:gridCol w:w="4363"/>
      </w:tblGrid>
      <w:tr w:rsidR="00BA21D7" w14:paraId="5422715A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9B637B" w14:textId="77777777" w:rsidR="00BA21D7" w:rsidRDefault="00BA21D7">
            <w:pPr>
              <w:rPr>
                <w:sz w:val="10"/>
                <w:szCs w:val="10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45FF7" w14:textId="77777777" w:rsidR="00BA21D7" w:rsidRDefault="00BA21D7">
            <w:pPr>
              <w:rPr>
                <w:sz w:val="10"/>
                <w:szCs w:val="10"/>
              </w:rPr>
            </w:pPr>
          </w:p>
        </w:tc>
      </w:tr>
      <w:tr w:rsidR="00BA21D7" w14:paraId="4EA2883B" w14:textId="77777777">
        <w:tblPrEx>
          <w:tblCellMar>
            <w:top w:w="0" w:type="dxa"/>
            <w:bottom w:w="0" w:type="dxa"/>
          </w:tblCellMar>
        </w:tblPrEx>
        <w:trPr>
          <w:trHeight w:hRule="exact" w:val="1930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D11F37" w14:textId="14501C4B" w:rsidR="00BA21D7" w:rsidRDefault="00BA21D7">
            <w:pPr>
              <w:pStyle w:val="Other10"/>
              <w:spacing w:after="100" w:line="240" w:lineRule="auto"/>
              <w:ind w:firstLine="160"/>
              <w:rPr>
                <w:sz w:val="22"/>
                <w:szCs w:val="22"/>
              </w:rPr>
            </w:pP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BED11" w14:textId="32F5A1E2" w:rsidR="00BA21D7" w:rsidRDefault="00BA21D7">
            <w:pPr>
              <w:pStyle w:val="Other10"/>
              <w:spacing w:after="180" w:line="240" w:lineRule="auto"/>
            </w:pPr>
          </w:p>
        </w:tc>
      </w:tr>
      <w:tr w:rsidR="00BA21D7" w14:paraId="28FEEA47" w14:textId="77777777">
        <w:tblPrEx>
          <w:tblCellMar>
            <w:top w:w="0" w:type="dxa"/>
            <w:bottom w:w="0" w:type="dxa"/>
          </w:tblCellMar>
        </w:tblPrEx>
        <w:trPr>
          <w:trHeight w:hRule="exact" w:val="1447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ECA134" w14:textId="605A2945" w:rsidR="00BA21D7" w:rsidRDefault="00BA21D7">
            <w:pPr>
              <w:pStyle w:val="Other10"/>
              <w:spacing w:after="140" w:line="218" w:lineRule="auto"/>
              <w:ind w:left="1840"/>
              <w:rPr>
                <w:sz w:val="11"/>
                <w:szCs w:val="11"/>
              </w:rPr>
            </w:pP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102A3" w14:textId="77777777" w:rsidR="00BA21D7" w:rsidRDefault="00BA21D7"/>
        </w:tc>
      </w:tr>
      <w:tr w:rsidR="00BA21D7" w14:paraId="4BB10CF4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A7F81A" w14:textId="7DEE3137" w:rsidR="00BA21D7" w:rsidRDefault="00BA21D7">
            <w:pPr>
              <w:pStyle w:val="Other10"/>
              <w:spacing w:line="240" w:lineRule="auto"/>
            </w:pPr>
          </w:p>
        </w:tc>
        <w:tc>
          <w:tcPr>
            <w:tcW w:w="4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5F33B" w14:textId="77777777" w:rsidR="00BA21D7" w:rsidRDefault="00BA21D7"/>
        </w:tc>
      </w:tr>
    </w:tbl>
    <w:p w14:paraId="624AC37B" w14:textId="77777777" w:rsidR="00BA21D7" w:rsidRDefault="00BA21D7">
      <w:pPr>
        <w:sectPr w:rsidR="00BA21D7">
          <w:pgSz w:w="11900" w:h="16840"/>
          <w:pgMar w:top="1717" w:right="1540" w:bottom="1357" w:left="165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2"/>
        <w:gridCol w:w="6768"/>
      </w:tblGrid>
      <w:tr w:rsidR="00BA21D7" w14:paraId="0427ABE5" w14:textId="77777777">
        <w:tblPrEx>
          <w:tblCellMar>
            <w:top w:w="0" w:type="dxa"/>
            <w:bottom w:w="0" w:type="dxa"/>
          </w:tblCellMar>
        </w:tblPrEx>
        <w:trPr>
          <w:trHeight w:hRule="exact" w:val="886"/>
          <w:jc w:val="center"/>
        </w:trPr>
        <w:tc>
          <w:tcPr>
            <w:tcW w:w="67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3A3387" w14:textId="77777777" w:rsidR="00BA21D7" w:rsidRDefault="00000000">
            <w:pPr>
              <w:pStyle w:val="Other10"/>
              <w:spacing w:line="257" w:lineRule="auto"/>
            </w:pPr>
            <w:r>
              <w:rPr>
                <w:rStyle w:val="Other1"/>
                <w:b/>
                <w:bCs/>
              </w:rPr>
              <w:lastRenderedPageBreak/>
              <w:t>Příloha č. 1 - Vzor a výpočet obchodního zvýhodnění, Podmínky obchodní spolupráce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A6D2" w14:textId="77777777" w:rsidR="00BA21D7" w:rsidRDefault="00000000">
            <w:pPr>
              <w:pStyle w:val="Other10"/>
              <w:spacing w:line="240" w:lineRule="auto"/>
            </w:pPr>
            <w:proofErr w:type="spellStart"/>
            <w:r>
              <w:rPr>
                <w:rStyle w:val="Other1"/>
                <w:b/>
                <w:bCs/>
              </w:rPr>
              <w:t>Annex</w:t>
            </w:r>
            <w:proofErr w:type="spellEnd"/>
            <w:r>
              <w:rPr>
                <w:rStyle w:val="Other1"/>
                <w:b/>
                <w:bCs/>
              </w:rPr>
              <w:t xml:space="preserve"> 1 - Model and </w:t>
            </w:r>
            <w:proofErr w:type="spellStart"/>
            <w:r>
              <w:rPr>
                <w:rStyle w:val="Other1"/>
                <w:b/>
                <w:bCs/>
              </w:rPr>
              <w:t>calculation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of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the</w:t>
            </w:r>
            <w:proofErr w:type="spellEnd"/>
            <w:r>
              <w:rPr>
                <w:rStyle w:val="Other1"/>
                <w:b/>
                <w:bCs/>
              </w:rPr>
              <w:t xml:space="preserve"> Trade </w:t>
            </w:r>
            <w:proofErr w:type="spellStart"/>
            <w:r>
              <w:rPr>
                <w:rStyle w:val="Other1"/>
                <w:b/>
                <w:bCs/>
              </w:rPr>
              <w:t>advantage</w:t>
            </w:r>
            <w:proofErr w:type="spellEnd"/>
            <w:r>
              <w:rPr>
                <w:rStyle w:val="Other1"/>
                <w:b/>
                <w:bCs/>
              </w:rPr>
              <w:t xml:space="preserve">, </w:t>
            </w:r>
            <w:proofErr w:type="spellStart"/>
            <w:r>
              <w:rPr>
                <w:rStyle w:val="Other1"/>
                <w:b/>
                <w:bCs/>
              </w:rPr>
              <w:t>Terms</w:t>
            </w:r>
            <w:proofErr w:type="spellEnd"/>
            <w:r>
              <w:rPr>
                <w:rStyle w:val="Other1"/>
                <w:b/>
                <w:bCs/>
              </w:rPr>
              <w:t xml:space="preserve"> and </w:t>
            </w:r>
            <w:proofErr w:type="spellStart"/>
            <w:r>
              <w:rPr>
                <w:rStyle w:val="Other1"/>
                <w:b/>
                <w:bCs/>
              </w:rPr>
              <w:t>Conditions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of</w:t>
            </w:r>
            <w:proofErr w:type="spellEnd"/>
            <w:r>
              <w:rPr>
                <w:rStyle w:val="Other1"/>
                <w:b/>
                <w:bCs/>
              </w:rPr>
              <w:t xml:space="preserve"> Business </w:t>
            </w:r>
            <w:proofErr w:type="spellStart"/>
            <w:r>
              <w:rPr>
                <w:rStyle w:val="Other1"/>
                <w:b/>
                <w:bCs/>
              </w:rPr>
              <w:t>Cooperation</w:t>
            </w:r>
            <w:proofErr w:type="spellEnd"/>
          </w:p>
        </w:tc>
      </w:tr>
      <w:tr w:rsidR="00BA21D7" w14:paraId="6D0D5414" w14:textId="77777777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67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FA2F5C" w14:textId="77777777" w:rsidR="00BA21D7" w:rsidRDefault="00000000">
            <w:pPr>
              <w:pStyle w:val="Other10"/>
              <w:spacing w:line="271" w:lineRule="auto"/>
            </w:pPr>
            <w:r>
              <w:rPr>
                <w:rStyle w:val="Other1"/>
              </w:rPr>
              <w:t>Způsob určení obchodního zvýhodnění je stanoven uvedeným výpočtem.</w:t>
            </w:r>
          </w:p>
        </w:tc>
        <w:tc>
          <w:tcPr>
            <w:tcW w:w="6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949F" w14:textId="77777777" w:rsidR="00BA21D7" w:rsidRDefault="00000000">
            <w:pPr>
              <w:pStyle w:val="Other10"/>
              <w:spacing w:line="264" w:lineRule="auto"/>
            </w:pP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method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of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stipulating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trade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advantage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through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following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calculation</w:t>
            </w:r>
            <w:proofErr w:type="spellEnd"/>
            <w:r>
              <w:rPr>
                <w:rStyle w:val="Other1"/>
              </w:rPr>
              <w:t>.</w:t>
            </w:r>
          </w:p>
        </w:tc>
      </w:tr>
      <w:tr w:rsidR="00BA21D7" w14:paraId="5DE541DE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67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5F7113" w14:textId="77777777" w:rsidR="00BA21D7" w:rsidRDefault="00000000">
            <w:pPr>
              <w:pStyle w:val="Other10"/>
              <w:spacing w:before="120" w:line="240" w:lineRule="auto"/>
            </w:pPr>
            <w:r>
              <w:rPr>
                <w:rStyle w:val="Other1"/>
              </w:rPr>
              <w:t>Tyto podmínky nabývají platnosti a účinnosti 1.1. 2025.</w:t>
            </w:r>
          </w:p>
        </w:tc>
        <w:tc>
          <w:tcPr>
            <w:tcW w:w="6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1B40D" w14:textId="77777777" w:rsidR="00BA21D7" w:rsidRDefault="00000000">
            <w:pPr>
              <w:pStyle w:val="Other10"/>
              <w:spacing w:before="100" w:line="264" w:lineRule="auto"/>
            </w:pPr>
            <w:r>
              <w:rPr>
                <w:rStyle w:val="Other1"/>
              </w:rPr>
              <w:t xml:space="preserve">These </w:t>
            </w:r>
            <w:proofErr w:type="spellStart"/>
            <w:r>
              <w:rPr>
                <w:rStyle w:val="Other1"/>
              </w:rPr>
              <w:t>terms</w:t>
            </w:r>
            <w:proofErr w:type="spellEnd"/>
            <w:r>
              <w:rPr>
                <w:rStyle w:val="Other1"/>
              </w:rPr>
              <w:t xml:space="preserve"> and </w:t>
            </w:r>
            <w:proofErr w:type="spellStart"/>
            <w:r>
              <w:rPr>
                <w:rStyle w:val="Other1"/>
              </w:rPr>
              <w:t>conditions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shall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come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into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force</w:t>
            </w:r>
            <w:proofErr w:type="spellEnd"/>
            <w:r>
              <w:rPr>
                <w:rStyle w:val="Other1"/>
              </w:rPr>
              <w:t xml:space="preserve"> and </w:t>
            </w:r>
            <w:proofErr w:type="spellStart"/>
            <w:r>
              <w:rPr>
                <w:rStyle w:val="Other1"/>
              </w:rPr>
              <w:t>effect</w:t>
            </w:r>
            <w:proofErr w:type="spellEnd"/>
            <w:r>
              <w:rPr>
                <w:rStyle w:val="Other1"/>
              </w:rPr>
              <w:t xml:space="preserve"> on 1 </w:t>
            </w:r>
            <w:proofErr w:type="spellStart"/>
            <w:r>
              <w:rPr>
                <w:rStyle w:val="Other1"/>
              </w:rPr>
              <w:t>January</w:t>
            </w:r>
            <w:proofErr w:type="spellEnd"/>
            <w:r>
              <w:rPr>
                <w:rStyle w:val="Other1"/>
              </w:rPr>
              <w:t xml:space="preserve"> 2025.</w:t>
            </w:r>
          </w:p>
        </w:tc>
      </w:tr>
    </w:tbl>
    <w:p w14:paraId="3F1CD843" w14:textId="77777777" w:rsidR="00BA21D7" w:rsidRDefault="00BA21D7">
      <w:pPr>
        <w:spacing w:after="1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6"/>
        <w:gridCol w:w="6761"/>
      </w:tblGrid>
      <w:tr w:rsidR="00BA21D7" w14:paraId="6C185D3F" w14:textId="77777777">
        <w:tblPrEx>
          <w:tblCellMar>
            <w:top w:w="0" w:type="dxa"/>
            <w:bottom w:w="0" w:type="dxa"/>
          </w:tblCellMar>
        </w:tblPrEx>
        <w:trPr>
          <w:trHeight w:hRule="exact" w:val="4342"/>
          <w:jc w:val="center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14A6C" w14:textId="77777777" w:rsidR="00BA21D7" w:rsidRDefault="00000000">
            <w:pPr>
              <w:pStyle w:val="Other10"/>
              <w:spacing w:after="200" w:line="257" w:lineRule="auto"/>
            </w:pPr>
            <w:r>
              <w:rPr>
                <w:rStyle w:val="Other1"/>
              </w:rPr>
              <w:t>Způsob obchodního zvýhodnění je stanoven uvedeným výpočtem:</w:t>
            </w:r>
          </w:p>
          <w:p w14:paraId="29FFAFCD" w14:textId="35E2F7C7" w:rsidR="00BA21D7" w:rsidRDefault="00BA21D7">
            <w:pPr>
              <w:pStyle w:val="Other10"/>
              <w:spacing w:after="200" w:line="257" w:lineRule="auto"/>
              <w:ind w:left="240" w:firstLine="20"/>
              <w:jc w:val="both"/>
            </w:pP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22C3" w14:textId="77777777" w:rsidR="00BA21D7" w:rsidRDefault="00000000">
            <w:pPr>
              <w:pStyle w:val="Other10"/>
              <w:spacing w:after="200" w:line="257" w:lineRule="auto"/>
            </w:pP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method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of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calculation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of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Trade </w:t>
            </w:r>
            <w:proofErr w:type="spellStart"/>
            <w:r>
              <w:rPr>
                <w:rStyle w:val="Other1"/>
              </w:rPr>
              <w:t>advantage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through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following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calculation</w:t>
            </w:r>
            <w:proofErr w:type="spellEnd"/>
            <w:r>
              <w:rPr>
                <w:rStyle w:val="Other1"/>
              </w:rPr>
              <w:t>:</w:t>
            </w:r>
          </w:p>
          <w:p w14:paraId="7FA15A76" w14:textId="5F485D3D" w:rsidR="00BA21D7" w:rsidRDefault="00BA21D7">
            <w:pPr>
              <w:pStyle w:val="Other10"/>
              <w:spacing w:after="200" w:line="257" w:lineRule="auto"/>
              <w:ind w:left="220"/>
            </w:pPr>
          </w:p>
        </w:tc>
      </w:tr>
    </w:tbl>
    <w:p w14:paraId="7DBE27CE" w14:textId="77777777" w:rsidR="00BA21D7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4"/>
        <w:gridCol w:w="5422"/>
        <w:gridCol w:w="2311"/>
        <w:gridCol w:w="1937"/>
        <w:gridCol w:w="2340"/>
      </w:tblGrid>
      <w:tr w:rsidR="00BA21D7" w14:paraId="423D5583" w14:textId="77777777">
        <w:tblPrEx>
          <w:tblCellMar>
            <w:top w:w="0" w:type="dxa"/>
            <w:bottom w:w="0" w:type="dxa"/>
          </w:tblCellMar>
        </w:tblPrEx>
        <w:trPr>
          <w:trHeight w:hRule="exact" w:val="1627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09F5A9" w14:textId="77777777" w:rsidR="00BA21D7" w:rsidRDefault="00000000">
            <w:pPr>
              <w:pStyle w:val="Other10"/>
              <w:spacing w:line="286" w:lineRule="auto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lastRenderedPageBreak/>
              <w:t>Referenční období/Reference period 1.1.2025-30.6.2025, 1.7.2025 -31.12.2025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22168F" w14:textId="77777777" w:rsidR="00BA21D7" w:rsidRDefault="00000000">
            <w:pPr>
              <w:pStyle w:val="Other10"/>
              <w:spacing w:line="240" w:lineRule="auto"/>
              <w:ind w:firstLine="80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Výrobek/výrobky vč. SÚKL kódu/</w:t>
            </w:r>
            <w:proofErr w:type="spellStart"/>
            <w:r>
              <w:rPr>
                <w:rStyle w:val="Other1"/>
                <w:sz w:val="13"/>
                <w:szCs w:val="13"/>
              </w:rPr>
              <w:t>Product</w:t>
            </w:r>
            <w:proofErr w:type="spellEnd"/>
            <w:r>
              <w:rPr>
                <w:rStyle w:val="Other1"/>
                <w:sz w:val="13"/>
                <w:szCs w:val="13"/>
              </w:rPr>
              <w:t xml:space="preserve">(s) </w:t>
            </w:r>
            <w:proofErr w:type="spellStart"/>
            <w:r>
              <w:rPr>
                <w:rStyle w:val="Other1"/>
                <w:sz w:val="13"/>
                <w:szCs w:val="13"/>
              </w:rPr>
              <w:t>incl</w:t>
            </w:r>
            <w:proofErr w:type="spellEnd"/>
            <w:r>
              <w:rPr>
                <w:rStyle w:val="Other1"/>
                <w:sz w:val="13"/>
                <w:szCs w:val="13"/>
              </w:rPr>
              <w:t xml:space="preserve">. SŮKL </w:t>
            </w:r>
            <w:proofErr w:type="spellStart"/>
            <w:r>
              <w:rPr>
                <w:rStyle w:val="Other1"/>
                <w:sz w:val="13"/>
                <w:szCs w:val="13"/>
              </w:rPr>
              <w:t>code</w:t>
            </w:r>
            <w:proofErr w:type="spellEnd"/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C82E57" w14:textId="77777777" w:rsidR="00BA21D7" w:rsidRDefault="00000000">
            <w:pPr>
              <w:pStyle w:val="Other10"/>
              <w:spacing w:line="295" w:lineRule="auto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 xml:space="preserve">Minimální fakturovaný objem v cenách výrobce bez DPH a marže distributora, při jehož překročení vzniká v příslušném pásmu nárok na obchodní zvýhodnění/Minimum </w:t>
            </w:r>
            <w:proofErr w:type="spellStart"/>
            <w:r>
              <w:rPr>
                <w:rStyle w:val="Other1"/>
                <w:sz w:val="13"/>
                <w:szCs w:val="13"/>
              </w:rPr>
              <w:t>invoiced</w:t>
            </w:r>
            <w:proofErr w:type="spellEnd"/>
            <w:r>
              <w:rPr>
                <w:rStyle w:val="Other1"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Other1"/>
                <w:sz w:val="13"/>
                <w:szCs w:val="13"/>
              </w:rPr>
              <w:t>volume</w:t>
            </w:r>
            <w:proofErr w:type="spellEnd"/>
            <w:r>
              <w:rPr>
                <w:rStyle w:val="Other1"/>
                <w:sz w:val="13"/>
                <w:szCs w:val="13"/>
              </w:rPr>
              <w:t xml:space="preserve"> in </w:t>
            </w:r>
            <w:proofErr w:type="spellStart"/>
            <w:r>
              <w:rPr>
                <w:rStyle w:val="Other1"/>
                <w:sz w:val="13"/>
                <w:szCs w:val="13"/>
              </w:rPr>
              <w:t>producer</w:t>
            </w:r>
            <w:proofErr w:type="spellEnd"/>
            <w:r>
              <w:rPr>
                <w:rStyle w:val="Other1"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Other1"/>
                <w:sz w:val="13"/>
                <w:szCs w:val="13"/>
              </w:rPr>
              <w:t>prices</w:t>
            </w:r>
            <w:proofErr w:type="spellEnd"/>
            <w:r>
              <w:rPr>
                <w:rStyle w:val="Other1"/>
                <w:sz w:val="13"/>
                <w:szCs w:val="13"/>
              </w:rPr>
              <w:t xml:space="preserve">, </w:t>
            </w:r>
            <w:proofErr w:type="spellStart"/>
            <w:r>
              <w:rPr>
                <w:rStyle w:val="Other1"/>
                <w:sz w:val="13"/>
                <w:szCs w:val="13"/>
              </w:rPr>
              <w:t>excluding</w:t>
            </w:r>
            <w:proofErr w:type="spellEnd"/>
            <w:r>
              <w:rPr>
                <w:rStyle w:val="Other1"/>
                <w:sz w:val="13"/>
                <w:szCs w:val="13"/>
              </w:rPr>
              <w:t xml:space="preserve"> VAT and distributor </w:t>
            </w:r>
            <w:proofErr w:type="spellStart"/>
            <w:r>
              <w:rPr>
                <w:rStyle w:val="Other1"/>
                <w:sz w:val="13"/>
                <w:szCs w:val="13"/>
              </w:rPr>
              <w:t>margin</w:t>
            </w:r>
            <w:proofErr w:type="spellEnd"/>
            <w:r>
              <w:rPr>
                <w:rStyle w:val="Other1"/>
                <w:sz w:val="13"/>
                <w:szCs w:val="13"/>
              </w:rPr>
              <w:t xml:space="preserve">, </w:t>
            </w:r>
            <w:proofErr w:type="spellStart"/>
            <w:r>
              <w:rPr>
                <w:rStyle w:val="Other1"/>
                <w:sz w:val="13"/>
                <w:szCs w:val="13"/>
              </w:rPr>
              <w:t>above</w:t>
            </w:r>
            <w:proofErr w:type="spellEnd"/>
            <w:r>
              <w:rPr>
                <w:rStyle w:val="Other1"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Other1"/>
                <w:sz w:val="13"/>
                <w:szCs w:val="13"/>
              </w:rPr>
              <w:t>which</w:t>
            </w:r>
            <w:proofErr w:type="spellEnd"/>
            <w:r>
              <w:rPr>
                <w:rStyle w:val="Other1"/>
                <w:sz w:val="13"/>
                <w:szCs w:val="13"/>
              </w:rPr>
              <w:t xml:space="preserve"> a 1rade </w:t>
            </w:r>
            <w:proofErr w:type="spellStart"/>
            <w:r>
              <w:rPr>
                <w:rStyle w:val="Other1"/>
                <w:sz w:val="13"/>
                <w:szCs w:val="13"/>
              </w:rPr>
              <w:t>advantage</w:t>
            </w:r>
            <w:proofErr w:type="spellEnd"/>
            <w:r>
              <w:rPr>
                <w:rStyle w:val="Other1"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Other1"/>
                <w:sz w:val="13"/>
                <w:szCs w:val="13"/>
              </w:rPr>
              <w:t>is</w:t>
            </w:r>
            <w:proofErr w:type="spellEnd"/>
            <w:r>
              <w:rPr>
                <w:rStyle w:val="Other1"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Other1"/>
                <w:sz w:val="13"/>
                <w:szCs w:val="13"/>
              </w:rPr>
              <w:t>payable</w:t>
            </w:r>
            <w:proofErr w:type="spellEnd"/>
            <w:r>
              <w:rPr>
                <w:rStyle w:val="Other1"/>
                <w:sz w:val="13"/>
                <w:szCs w:val="13"/>
              </w:rPr>
              <w:t xml:space="preserve"> in </w:t>
            </w:r>
            <w:proofErr w:type="spellStart"/>
            <w:r>
              <w:rPr>
                <w:rStyle w:val="Other1"/>
                <w:sz w:val="13"/>
                <w:szCs w:val="13"/>
              </w:rPr>
              <w:t>the</w:t>
            </w:r>
            <w:proofErr w:type="spellEnd"/>
            <w:r>
              <w:rPr>
                <w:rStyle w:val="Other1"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Other1"/>
                <w:sz w:val="13"/>
                <w:szCs w:val="13"/>
              </w:rPr>
              <w:t>relevant</w:t>
            </w:r>
            <w:proofErr w:type="spellEnd"/>
            <w:r>
              <w:rPr>
                <w:rStyle w:val="Other1"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Other1"/>
                <w:sz w:val="13"/>
                <w:szCs w:val="13"/>
              </w:rPr>
              <w:t>zone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68789" w14:textId="77777777" w:rsidR="00BA21D7" w:rsidRDefault="00000000">
            <w:pPr>
              <w:pStyle w:val="Other10"/>
              <w:spacing w:before="180" w:after="540" w:line="276" w:lineRule="auto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 xml:space="preserve">Výpočet obchodního zvýhodnění/ </w:t>
            </w:r>
            <w:proofErr w:type="spellStart"/>
            <w:r>
              <w:rPr>
                <w:rStyle w:val="Other1"/>
                <w:sz w:val="13"/>
                <w:szCs w:val="13"/>
              </w:rPr>
              <w:t>Calculation</w:t>
            </w:r>
            <w:proofErr w:type="spellEnd"/>
            <w:r>
              <w:rPr>
                <w:rStyle w:val="Other1"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Other1"/>
                <w:sz w:val="13"/>
                <w:szCs w:val="13"/>
              </w:rPr>
              <w:t>of</w:t>
            </w:r>
            <w:proofErr w:type="spellEnd"/>
            <w:r>
              <w:rPr>
                <w:rStyle w:val="Other1"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Other1"/>
                <w:sz w:val="13"/>
                <w:szCs w:val="13"/>
              </w:rPr>
              <w:t>Tradě</w:t>
            </w:r>
            <w:proofErr w:type="spellEnd"/>
            <w:r>
              <w:rPr>
                <w:rStyle w:val="Other1"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Other1"/>
                <w:sz w:val="13"/>
                <w:szCs w:val="13"/>
              </w:rPr>
              <w:t>advantage</w:t>
            </w:r>
            <w:proofErr w:type="spellEnd"/>
          </w:p>
          <w:p w14:paraId="57AA7AFE" w14:textId="77777777" w:rsidR="00BA21D7" w:rsidRDefault="00000000">
            <w:pPr>
              <w:pStyle w:val="Other10"/>
              <w:spacing w:line="276" w:lineRule="auto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rStyle w:val="Other1"/>
                <w:sz w:val="13"/>
                <w:szCs w:val="13"/>
              </w:rPr>
              <w:t>FOxY</w:t>
            </w:r>
            <w:proofErr w:type="spellEnd"/>
          </w:p>
        </w:tc>
      </w:tr>
      <w:tr w:rsidR="00BA21D7" w14:paraId="2BF1200F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14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066A5E" w14:textId="77777777" w:rsidR="00BA21D7" w:rsidRDefault="00000000">
            <w:pPr>
              <w:pStyle w:val="Other10"/>
              <w:spacing w:line="300" w:lineRule="auto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Kalendářní půlroční/</w:t>
            </w:r>
            <w:proofErr w:type="spellStart"/>
            <w:r>
              <w:rPr>
                <w:rStyle w:val="Other1"/>
                <w:sz w:val="13"/>
                <w:szCs w:val="13"/>
              </w:rPr>
              <w:t>Calendar</w:t>
            </w:r>
            <w:proofErr w:type="spellEnd"/>
            <w:r>
              <w:rPr>
                <w:rStyle w:val="Other1"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Other1"/>
                <w:sz w:val="13"/>
                <w:szCs w:val="13"/>
              </w:rPr>
              <w:t>half-year</w:t>
            </w:r>
            <w:proofErr w:type="spellEnd"/>
          </w:p>
        </w:tc>
        <w:tc>
          <w:tcPr>
            <w:tcW w:w="5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2AEEE8" w14:textId="762DE617" w:rsidR="00BA21D7" w:rsidRDefault="00BA21D7">
            <w:pPr>
              <w:pStyle w:val="Other10"/>
              <w:spacing w:line="240" w:lineRule="auto"/>
              <w:rPr>
                <w:sz w:val="13"/>
                <w:szCs w:val="13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1C171D" w14:textId="4643029E" w:rsidR="00BA21D7" w:rsidRDefault="00BA21D7">
            <w:pPr>
              <w:pStyle w:val="Other10"/>
              <w:spacing w:line="288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AFB5C2" w14:textId="28D67493" w:rsidR="00BA21D7" w:rsidRDefault="00BA21D7">
            <w:pPr>
              <w:pStyle w:val="Other10"/>
              <w:spacing w:line="240" w:lineRule="auto"/>
              <w:ind w:firstLine="400"/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C7FE" w14:textId="59E10700" w:rsidR="00BA21D7" w:rsidRDefault="00BA21D7">
            <w:pPr>
              <w:pStyle w:val="Other10"/>
              <w:spacing w:line="240" w:lineRule="auto"/>
              <w:jc w:val="center"/>
              <w:rPr>
                <w:sz w:val="13"/>
                <w:szCs w:val="13"/>
              </w:rPr>
            </w:pPr>
          </w:p>
        </w:tc>
      </w:tr>
      <w:tr w:rsidR="00BA21D7" w14:paraId="0BD2DCAE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1404" w:type="dxa"/>
            <w:vMerge/>
            <w:shd w:val="clear" w:color="auto" w:fill="auto"/>
            <w:vAlign w:val="center"/>
          </w:tcPr>
          <w:p w14:paraId="5C67AF8C" w14:textId="77777777" w:rsidR="00BA21D7" w:rsidRDefault="00BA21D7"/>
        </w:tc>
        <w:tc>
          <w:tcPr>
            <w:tcW w:w="54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0C66E5F" w14:textId="77777777" w:rsidR="00BA21D7" w:rsidRDefault="00BA21D7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84E431" w14:textId="583FCEB7" w:rsidR="00BA21D7" w:rsidRDefault="00BA21D7">
            <w:pPr>
              <w:pStyle w:val="Other10"/>
              <w:spacing w:line="288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32EFB0" w14:textId="06F3F662" w:rsidR="00BA21D7" w:rsidRDefault="00BA21D7">
            <w:pPr>
              <w:pStyle w:val="Other10"/>
              <w:spacing w:line="240" w:lineRule="auto"/>
              <w:ind w:firstLine="200"/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FC25" w14:textId="13C851BA" w:rsidR="00BA21D7" w:rsidRDefault="00BA21D7">
            <w:pPr>
              <w:pStyle w:val="Other10"/>
              <w:spacing w:line="240" w:lineRule="auto"/>
              <w:jc w:val="center"/>
              <w:rPr>
                <w:sz w:val="13"/>
                <w:szCs w:val="13"/>
              </w:rPr>
            </w:pPr>
          </w:p>
        </w:tc>
      </w:tr>
      <w:tr w:rsidR="00BA21D7" w14:paraId="3A94ADCD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404" w:type="dxa"/>
            <w:vMerge/>
            <w:shd w:val="clear" w:color="auto" w:fill="auto"/>
            <w:vAlign w:val="center"/>
          </w:tcPr>
          <w:p w14:paraId="3368AC65" w14:textId="77777777" w:rsidR="00BA21D7" w:rsidRDefault="00BA21D7"/>
        </w:tc>
        <w:tc>
          <w:tcPr>
            <w:tcW w:w="54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1AA6679" w14:textId="77777777" w:rsidR="00BA21D7" w:rsidRDefault="00BA21D7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2A0A40" w14:textId="4A00A5E5" w:rsidR="00BA21D7" w:rsidRDefault="00BA21D7">
            <w:pPr>
              <w:pStyle w:val="Other10"/>
              <w:spacing w:line="288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D7E802" w14:textId="096A31AE" w:rsidR="00BA21D7" w:rsidRDefault="00BA21D7">
            <w:pPr>
              <w:pStyle w:val="Other10"/>
              <w:spacing w:line="240" w:lineRule="auto"/>
              <w:ind w:firstLine="200"/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5564" w14:textId="22EA1667" w:rsidR="00BA21D7" w:rsidRDefault="00BA21D7">
            <w:pPr>
              <w:pStyle w:val="Other10"/>
              <w:spacing w:line="240" w:lineRule="auto"/>
              <w:jc w:val="center"/>
              <w:rPr>
                <w:sz w:val="13"/>
                <w:szCs w:val="13"/>
              </w:rPr>
            </w:pPr>
          </w:p>
        </w:tc>
      </w:tr>
      <w:tr w:rsidR="00BA21D7" w14:paraId="0D610824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404" w:type="dxa"/>
            <w:vMerge/>
            <w:shd w:val="clear" w:color="auto" w:fill="auto"/>
            <w:vAlign w:val="center"/>
          </w:tcPr>
          <w:p w14:paraId="74DC6E75" w14:textId="77777777" w:rsidR="00BA21D7" w:rsidRDefault="00BA21D7"/>
        </w:tc>
        <w:tc>
          <w:tcPr>
            <w:tcW w:w="54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86684D" w14:textId="77777777" w:rsidR="00BA21D7" w:rsidRDefault="00BA21D7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5C3E19" w14:textId="5711BF4F" w:rsidR="00BA21D7" w:rsidRDefault="00BA21D7">
            <w:pPr>
              <w:pStyle w:val="Other10"/>
              <w:spacing w:line="302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C6FCAF" w14:textId="2A77F57E" w:rsidR="00BA21D7" w:rsidRDefault="00BA21D7">
            <w:pPr>
              <w:pStyle w:val="Other10"/>
              <w:spacing w:line="240" w:lineRule="auto"/>
              <w:ind w:firstLine="200"/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7082" w14:textId="15E91930" w:rsidR="00BA21D7" w:rsidRDefault="00BA21D7">
            <w:pPr>
              <w:pStyle w:val="Other10"/>
              <w:spacing w:line="240" w:lineRule="auto"/>
              <w:jc w:val="center"/>
              <w:rPr>
                <w:sz w:val="13"/>
                <w:szCs w:val="13"/>
              </w:rPr>
            </w:pPr>
          </w:p>
        </w:tc>
      </w:tr>
      <w:tr w:rsidR="00BA21D7" w14:paraId="32921D3D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404" w:type="dxa"/>
            <w:vMerge/>
            <w:shd w:val="clear" w:color="auto" w:fill="auto"/>
            <w:vAlign w:val="center"/>
          </w:tcPr>
          <w:p w14:paraId="5E82098B" w14:textId="77777777" w:rsidR="00BA21D7" w:rsidRDefault="00BA21D7"/>
        </w:tc>
        <w:tc>
          <w:tcPr>
            <w:tcW w:w="54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DB509BD" w14:textId="77777777" w:rsidR="00BA21D7" w:rsidRDefault="00BA21D7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43753E" w14:textId="2D02D9F8" w:rsidR="00BA21D7" w:rsidRDefault="00BA21D7">
            <w:pPr>
              <w:pStyle w:val="Other10"/>
              <w:spacing w:line="288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F5C6B4" w14:textId="170B7136" w:rsidR="00BA21D7" w:rsidRDefault="00BA21D7">
            <w:pPr>
              <w:pStyle w:val="Other10"/>
              <w:spacing w:line="240" w:lineRule="auto"/>
              <w:ind w:firstLine="200"/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D8E8" w14:textId="5EE5200D" w:rsidR="00BA21D7" w:rsidRDefault="00BA21D7">
            <w:pPr>
              <w:pStyle w:val="Other10"/>
              <w:spacing w:line="240" w:lineRule="auto"/>
              <w:jc w:val="center"/>
              <w:rPr>
                <w:sz w:val="13"/>
                <w:szCs w:val="13"/>
              </w:rPr>
            </w:pPr>
          </w:p>
        </w:tc>
      </w:tr>
      <w:tr w:rsidR="00BA21D7" w14:paraId="1B2519D7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4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888A6" w14:textId="77777777" w:rsidR="00BA21D7" w:rsidRDefault="00BA21D7"/>
        </w:tc>
        <w:tc>
          <w:tcPr>
            <w:tcW w:w="54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1F19D3" w14:textId="77777777" w:rsidR="00BA21D7" w:rsidRDefault="00BA21D7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2EA578" w14:textId="7E4A0922" w:rsidR="00BA21D7" w:rsidRDefault="00BA21D7">
            <w:pPr>
              <w:pStyle w:val="Other10"/>
              <w:spacing w:line="288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EC322" w14:textId="3D6246FC" w:rsidR="00BA21D7" w:rsidRDefault="00BA21D7">
            <w:pPr>
              <w:pStyle w:val="Other10"/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E7B0" w14:textId="6170BF28" w:rsidR="00BA21D7" w:rsidRDefault="00BA21D7">
            <w:pPr>
              <w:pStyle w:val="Other10"/>
              <w:spacing w:line="240" w:lineRule="auto"/>
              <w:jc w:val="center"/>
              <w:rPr>
                <w:sz w:val="13"/>
                <w:szCs w:val="13"/>
              </w:rPr>
            </w:pPr>
          </w:p>
        </w:tc>
      </w:tr>
    </w:tbl>
    <w:p w14:paraId="795D0AD8" w14:textId="77777777" w:rsidR="000F24B5" w:rsidRDefault="000F24B5"/>
    <w:sectPr w:rsidR="000F24B5">
      <w:footerReference w:type="default" r:id="rId10"/>
      <w:pgSz w:w="16840" w:h="11900" w:orient="landscape"/>
      <w:pgMar w:top="1716" w:right="1650" w:bottom="2575" w:left="1654" w:header="128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47435" w14:textId="77777777" w:rsidR="000F24B5" w:rsidRDefault="000F24B5">
      <w:r>
        <w:separator/>
      </w:r>
    </w:p>
  </w:endnote>
  <w:endnote w:type="continuationSeparator" w:id="0">
    <w:p w14:paraId="1EA37DB5" w14:textId="77777777" w:rsidR="000F24B5" w:rsidRDefault="000F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5C3E" w14:textId="77777777" w:rsidR="00BA21D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150E600B" wp14:editId="63873340">
              <wp:simplePos x="0" y="0"/>
              <wp:positionH relativeFrom="page">
                <wp:posOffset>3683635</wp:posOffset>
              </wp:positionH>
              <wp:positionV relativeFrom="page">
                <wp:posOffset>9819640</wp:posOffset>
              </wp:positionV>
              <wp:extent cx="36830" cy="9588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B4E222" w14:textId="77777777" w:rsidR="00BA21D7" w:rsidRDefault="0000000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E600B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0.05pt;margin-top:773.2pt;width:2.9pt;height:7.5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uzfwEAAP0CAAAOAAAAZHJzL2Uyb0RvYy54bWysUsFOwzAMvSPxD1HurGMTaFRrEWgaQkKA&#10;BHxAmiZrpSaO4rB2f4+TdRuCG+LiOrb7/Pzs5e1gOrZVHluwBb+cTDlTVkLd2k3BP97XFwvOMAhb&#10;iw6sKvhOIb8tz8+WvcvVDBroauUZgVjMe1fwJgSXZxnKRhmBE3DKUlKDNyLQ02+y2oue0E2XzabT&#10;66wHXzsPUiFSdLVP8jLha61keNEaVWBdwYlbSNYnW0WblUuRb7xwTStHGuIPLIxoLTU9Qq1EEOzT&#10;t7+gTCs9IOgwkWAy0LqVKs1A01xOf0zz1gin0iwkDrqjTPh/sPJ5++ZePQvDPQy0wChI7zBHCsZ5&#10;Bu1N/BJTRnmScHeUTQ2BSQrOrxdzSkjK3FwtFlcRIzv96jyGBwWGRafgnnaSpBLbJwz70kNJ7GRh&#10;3XZdjJ94RC8M1TCSq6DeEeee1lZwS3fFWfdoSZW44YPjD041OhEc3d1noAapb0TdQ43NSOPEfLyH&#10;uMTv71R1utryCwAA//8DAFBLAwQUAAYACAAAACEACCkJw98AAAANAQAADwAAAGRycy9kb3ducmV2&#10;LnhtbEyPwU7DMAyG70i8Q2QkbiwtWkrpmk5oEhdujAmJW9Z4TbXGqZKsa9+e7ARH+//0+3O9ne3A&#10;JvShdyQhX2XAkFqne+okHL7en0pgISrSanCEEhYMsG3u72pVaXelT5z2sWOphEKlJJgYx4rz0Bq0&#10;KqzciJSyk/NWxTT6jmuvrqncDvw5ywpuVU/pglEj7gy25/3FSniZvx2OAXf4c5pab/qlHD4WKR8f&#10;5rcNsIhz/IPhpp/UoUlOR3chHdggQZRZntAUiHWxBpYQUYpXYMfbqsgF8Kbm/79ofgEAAP//AwBQ&#10;SwECLQAUAAYACAAAACEAtoM4kv4AAADhAQAAEwAAAAAAAAAAAAAAAAAAAAAAW0NvbnRlbnRfVHlw&#10;ZXNdLnhtbFBLAQItABQABgAIAAAAIQA4/SH/1gAAAJQBAAALAAAAAAAAAAAAAAAAAC8BAABfcmVs&#10;cy8ucmVsc1BLAQItABQABgAIAAAAIQAcUfuzfwEAAP0CAAAOAAAAAAAAAAAAAAAAAC4CAABkcnMv&#10;ZTJvRG9jLnhtbFBLAQItABQABgAIAAAAIQAIKQnD3wAAAA0BAAAPAAAAAAAAAAAAAAAAANkDAABk&#10;cnMvZG93bnJldi54bWxQSwUGAAAAAAQABADzAAAA5QQAAAAA&#10;" filled="f" stroked="f">
              <v:textbox style="mso-fit-shape-to-text:t" inset="0,0,0,0">
                <w:txbxContent>
                  <w:p w14:paraId="65B4E222" w14:textId="77777777" w:rsidR="00BA21D7" w:rsidRDefault="0000000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B6A8B" w14:textId="77777777" w:rsidR="00BA21D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54C6135D" wp14:editId="4DE1ACF4">
              <wp:simplePos x="0" y="0"/>
              <wp:positionH relativeFrom="page">
                <wp:posOffset>5315585</wp:posOffset>
              </wp:positionH>
              <wp:positionV relativeFrom="page">
                <wp:posOffset>6800215</wp:posOffset>
              </wp:positionV>
              <wp:extent cx="5969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9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D754CB" w14:textId="77777777" w:rsidR="00BA21D7" w:rsidRDefault="0000000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6135D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418.55pt;margin-top:535.45pt;width:4.7pt;height:7.2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lt1gwEAAAQDAAAOAAAAZHJzL2Uyb0RvYy54bWysUttKAzEQfRf8h5B3u61UsUu3opSKICpU&#10;PyDNJt3AJhMyaXf7907Sm+ib+DI7mcmec+ZMpve9bdlWBTTgKj4aDDlTTkJt3Lrinx+LqzvOMApX&#10;ixacqvhOIb+fXV5MO1+qa2igrVVgBOKw7HzFmxh9WRQoG2UFDsArR00NwYpIx7Au6iA6QrdtcT0c&#10;3hYdhNoHkAqRqvN9k88yvtZKxjetUUXWVpy0xRxDjqsUi9lUlOsgfGPkQYb4gworjCPSE9RcRME2&#10;wfyCskYGQNBxIMEWoLWRKs9A04yGP6ZZNsKrPAuZg/5kE/4frHzdLv17YLF/hJ4WmAzpPJZIxTRP&#10;r4NNX1LKqE8W7k62qT4yScWbye2EGpI6k9F4nE0tzr/6gPFJgWUpqXignWSrxPYFI9HR1eOVxORg&#10;Ydo21c86Uhb7Vc9M/U3jCuodSe9oexV39Lw4a58dmZMWfUzCMVkdksSB/mETiSfTJ/A91IGTrM6q&#10;Ds8i7fL7Od86P97ZFwAAAP//AwBQSwMEFAAGAAgAAAAhAMFQA9ffAAAADQEAAA8AAABkcnMvZG93&#10;bnJldi54bWxMj8tOwzAQRfdI/IM1SOyoXUobE+JUqBIbdrQIiZ0bT+MIP6LYTZO/Z7qC5cw9unOm&#10;2k7esRGH1MWgYLkQwDA00XShVfB5eHuQwFLWwWgXAyqYMcG2vr2pdGniJXzguM8to5KQSq3A5tyX&#10;nKfGotdpEXsMlJ3i4HWmcWi5GfSFyr3jj0JsuNddoAtW97iz2Pzsz15BMX1F7BPu8Ps0NoPtZune&#10;Z6Xu76bXF2AZp/wHw1Wf1KEmp2M8B5OYUyBXxZJQCkQhnoERIp82a2DH60quV8Driv//ov4FAAD/&#10;/wMAUEsBAi0AFAAGAAgAAAAhALaDOJL+AAAA4QEAABMAAAAAAAAAAAAAAAAAAAAAAFtDb250ZW50&#10;X1R5cGVzXS54bWxQSwECLQAUAAYACAAAACEAOP0h/9YAAACUAQAACwAAAAAAAAAAAAAAAAAvAQAA&#10;X3JlbHMvLnJlbHNQSwECLQAUAAYACAAAACEAcS5bdYMBAAAEAwAADgAAAAAAAAAAAAAAAAAuAgAA&#10;ZHJzL2Uyb0RvYy54bWxQSwECLQAUAAYACAAAACEAwVAD198AAAANAQAADwAAAAAAAAAAAAAAAADd&#10;AwAAZHJzL2Rvd25yZXYueG1sUEsFBgAAAAAEAAQA8wAAAOkEAAAAAA==&#10;" filled="f" stroked="f">
              <v:textbox style="mso-fit-shape-to-text:t" inset="0,0,0,0">
                <w:txbxContent>
                  <w:p w14:paraId="1FD754CB" w14:textId="77777777" w:rsidR="00BA21D7" w:rsidRDefault="0000000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13733" w14:textId="77777777" w:rsidR="000F24B5" w:rsidRDefault="000F24B5"/>
  </w:footnote>
  <w:footnote w:type="continuationSeparator" w:id="0">
    <w:p w14:paraId="1215BBEC" w14:textId="77777777" w:rsidR="000F24B5" w:rsidRDefault="000F24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3514"/>
    <w:multiLevelType w:val="multilevel"/>
    <w:tmpl w:val="F4D2C5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A7163E"/>
    <w:multiLevelType w:val="multilevel"/>
    <w:tmpl w:val="0974FF9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360BC6"/>
    <w:multiLevelType w:val="multilevel"/>
    <w:tmpl w:val="ADECEAC0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002BC7"/>
    <w:multiLevelType w:val="multilevel"/>
    <w:tmpl w:val="7B82A3E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1B6BD8"/>
    <w:multiLevelType w:val="multilevel"/>
    <w:tmpl w:val="1EE0D5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C076FC"/>
    <w:multiLevelType w:val="multilevel"/>
    <w:tmpl w:val="FE08272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C17961"/>
    <w:multiLevelType w:val="multilevel"/>
    <w:tmpl w:val="BD08649A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4D49FB"/>
    <w:multiLevelType w:val="multilevel"/>
    <w:tmpl w:val="D8AE17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B56C1A"/>
    <w:multiLevelType w:val="multilevel"/>
    <w:tmpl w:val="062C03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1447349">
    <w:abstractNumId w:val="5"/>
  </w:num>
  <w:num w:numId="2" w16cid:durableId="1950970435">
    <w:abstractNumId w:val="8"/>
  </w:num>
  <w:num w:numId="3" w16cid:durableId="394088741">
    <w:abstractNumId w:val="7"/>
  </w:num>
  <w:num w:numId="4" w16cid:durableId="1625044429">
    <w:abstractNumId w:val="4"/>
  </w:num>
  <w:num w:numId="5" w16cid:durableId="1372149045">
    <w:abstractNumId w:val="6"/>
  </w:num>
  <w:num w:numId="6" w16cid:durableId="943339264">
    <w:abstractNumId w:val="2"/>
  </w:num>
  <w:num w:numId="7" w16cid:durableId="1047339945">
    <w:abstractNumId w:val="3"/>
  </w:num>
  <w:num w:numId="8" w16cid:durableId="813720592">
    <w:abstractNumId w:val="0"/>
  </w:num>
  <w:num w:numId="9" w16cid:durableId="104732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1D7"/>
    <w:rsid w:val="000205A0"/>
    <w:rsid w:val="000F24B5"/>
    <w:rsid w:val="00775C57"/>
    <w:rsid w:val="00BA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4F14C"/>
  <w15:docId w15:val="{4B3051EA-80D2-4F57-8C14-4AAB0084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i/>
      <w:iCs/>
      <w:sz w:val="15"/>
      <w:szCs w:val="15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i/>
      <w:iCs/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Tablecaption10">
    <w:name w:val="Table caption|1"/>
    <w:basedOn w:val="Normln"/>
    <w:link w:val="Tablecaption1"/>
    <w:pPr>
      <w:spacing w:line="470" w:lineRule="auto"/>
    </w:pPr>
    <w:rPr>
      <w:rFonts w:ascii="Arial" w:eastAsia="Arial" w:hAnsi="Arial" w:cs="Arial"/>
      <w:sz w:val="16"/>
      <w:szCs w:val="16"/>
    </w:rPr>
  </w:style>
  <w:style w:type="paragraph" w:customStyle="1" w:styleId="Other10">
    <w:name w:val="Other|1"/>
    <w:basedOn w:val="Normln"/>
    <w:link w:val="Other1"/>
    <w:pPr>
      <w:spacing w:line="254" w:lineRule="auto"/>
    </w:pPr>
    <w:rPr>
      <w:rFonts w:ascii="Arial" w:eastAsia="Arial" w:hAnsi="Arial" w:cs="Arial"/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240" w:line="254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van.tiller@boehringer-ingelheim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lubos.vejmola@nemha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1164</Words>
  <Characters>6871</Characters>
  <Application>Microsoft Office Word</Application>
  <DocSecurity>0</DocSecurity>
  <Lines>57</Lines>
  <Paragraphs>16</Paragraphs>
  <ScaleCrop>false</ScaleCrop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2025-05-02T09:24:00Z</dcterms:created>
  <dcterms:modified xsi:type="dcterms:W3CDTF">2025-05-02T09:24:00Z</dcterms:modified>
</cp:coreProperties>
</file>