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7221300996</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0"/>
        <w:rPr>
          <w:sz w:val="39"/>
        </w:rPr>
      </w:pPr>
    </w:p>
    <w:p>
      <w:pPr>
        <w:pStyle w:val="BodyText"/>
        <w:spacing w:before="1"/>
        <w:ind w:left="102"/>
      </w:pPr>
      <w:r>
        <w:rPr/>
        <w:t>Smluvní</w:t>
      </w:r>
      <w:r>
        <w:rPr>
          <w:spacing w:val="-12"/>
        </w:rPr>
        <w:t> </w:t>
      </w:r>
      <w:r>
        <w:rPr>
          <w:spacing w:val="-2"/>
        </w:rPr>
        <w:t>strany</w:t>
      </w:r>
    </w:p>
    <w:p>
      <w:pPr>
        <w:pStyle w:val="BodyText"/>
      </w:pPr>
    </w:p>
    <w:p>
      <w:pPr>
        <w:pStyle w:val="Heading2"/>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before="1"/>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line="265" w:lineRule="exact"/>
        <w:ind w:left="102"/>
      </w:pPr>
      <w:r>
        <w:rPr>
          <w:spacing w:val="-4"/>
        </w:rPr>
        <w:t>IČO:</w:t>
      </w:r>
      <w:r>
        <w:rPr>
          <w:rFonts w:ascii="Times New Roman" w:hAnsi="Times New Roman"/>
        </w:rPr>
        <w:tab/>
      </w:r>
      <w:r>
        <w:rPr>
          <w:spacing w:val="-2"/>
        </w:rPr>
        <w:t>00020729</w:t>
      </w:r>
    </w:p>
    <w:p>
      <w:pPr>
        <w:pStyle w:val="BodyText"/>
        <w:tabs>
          <w:tab w:pos="2982" w:val="left" w:leader="none"/>
        </w:tabs>
        <w:spacing w:line="265" w:lineRule="exact"/>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
      </w:pPr>
    </w:p>
    <w:p>
      <w:pPr>
        <w:pStyle w:val="BodyText"/>
        <w:ind w:left="102"/>
      </w:pPr>
      <w:r>
        <w:rPr>
          <w:w w:val="99"/>
        </w:rPr>
        <w:t>a</w:t>
      </w:r>
    </w:p>
    <w:p>
      <w:pPr>
        <w:pStyle w:val="BodyText"/>
        <w:spacing w:before="12"/>
        <w:rPr>
          <w:sz w:val="19"/>
        </w:rPr>
      </w:pPr>
    </w:p>
    <w:p>
      <w:pPr>
        <w:pStyle w:val="Heading2"/>
        <w:ind w:left="102"/>
        <w:jc w:val="left"/>
      </w:pPr>
      <w:r>
        <w:rPr/>
        <w:t>obec</w:t>
      </w:r>
      <w:r>
        <w:rPr>
          <w:spacing w:val="-4"/>
        </w:rPr>
        <w:t> </w:t>
      </w:r>
      <w:r>
        <w:rPr>
          <w:spacing w:val="-2"/>
        </w:rPr>
        <w:t>Herálec</w:t>
      </w:r>
    </w:p>
    <w:p>
      <w:pPr>
        <w:pStyle w:val="BodyText"/>
        <w:tabs>
          <w:tab w:pos="2982" w:val="left" w:leader="none"/>
        </w:tabs>
        <w:ind w:left="102" w:right="177"/>
      </w:pPr>
      <w:r>
        <w:rPr/>
        <w:t>kontaktní adresa:</w:t>
        <w:tab/>
        <w:t>Obecní</w:t>
      </w:r>
      <w:r>
        <w:rPr>
          <w:spacing w:val="-5"/>
        </w:rPr>
        <w:t> </w:t>
      </w:r>
      <w:r>
        <w:rPr/>
        <w:t>úřad</w:t>
      </w:r>
      <w:r>
        <w:rPr>
          <w:spacing w:val="-5"/>
        </w:rPr>
        <w:t> </w:t>
      </w:r>
      <w:r>
        <w:rPr/>
        <w:t>Herálec,</w:t>
      </w:r>
      <w:r>
        <w:rPr>
          <w:spacing w:val="-4"/>
        </w:rPr>
        <w:t> </w:t>
      </w:r>
      <w:r>
        <w:rPr/>
        <w:t>Herálec</w:t>
      </w:r>
      <w:r>
        <w:rPr>
          <w:spacing w:val="-4"/>
        </w:rPr>
        <w:t> </w:t>
      </w:r>
      <w:r>
        <w:rPr/>
        <w:t>č.p.</w:t>
      </w:r>
      <w:r>
        <w:rPr>
          <w:spacing w:val="-5"/>
        </w:rPr>
        <w:t> </w:t>
      </w:r>
      <w:r>
        <w:rPr/>
        <w:t>257,</w:t>
      </w:r>
      <w:r>
        <w:rPr>
          <w:spacing w:val="-5"/>
        </w:rPr>
        <w:t> </w:t>
      </w:r>
      <w:r>
        <w:rPr/>
        <w:t>582</w:t>
      </w:r>
      <w:r>
        <w:rPr>
          <w:spacing w:val="-2"/>
        </w:rPr>
        <w:t> </w:t>
      </w:r>
      <w:r>
        <w:rPr/>
        <w:t>55</w:t>
      </w:r>
      <w:r>
        <w:rPr>
          <w:spacing w:val="-4"/>
        </w:rPr>
        <w:t> </w:t>
      </w:r>
      <w:r>
        <w:rPr/>
        <w:t>Herálec</w:t>
      </w:r>
      <w:r>
        <w:rPr>
          <w:spacing w:val="-1"/>
        </w:rPr>
        <w:t> </w:t>
      </w:r>
      <w:r>
        <w:rPr/>
        <w:t>u</w:t>
      </w:r>
      <w:r>
        <w:rPr>
          <w:spacing w:val="-4"/>
        </w:rPr>
        <w:t> </w:t>
      </w:r>
      <w:r>
        <w:rPr/>
        <w:t>Havlíčkova</w:t>
      </w:r>
      <w:r>
        <w:rPr>
          <w:spacing w:val="-4"/>
        </w:rPr>
        <w:t> </w:t>
      </w:r>
      <w:r>
        <w:rPr/>
        <w:t>brodu </w:t>
      </w:r>
      <w:r>
        <w:rPr>
          <w:spacing w:val="-4"/>
        </w:rPr>
        <w:t>IČO:</w:t>
      </w:r>
      <w:r>
        <w:rPr/>
        <w:tab/>
      </w:r>
      <w:r>
        <w:rPr>
          <w:spacing w:val="-2"/>
        </w:rPr>
        <w:t>00267457</w:t>
      </w:r>
    </w:p>
    <w:p>
      <w:pPr>
        <w:pStyle w:val="BodyText"/>
        <w:tabs>
          <w:tab w:pos="2982" w:val="left" w:leader="none"/>
        </w:tabs>
        <w:spacing w:before="1"/>
        <w:ind w:left="102"/>
      </w:pPr>
      <w:r>
        <w:rPr>
          <w:spacing w:val="-2"/>
        </w:rPr>
        <w:t>zastoupená:</w:t>
      </w:r>
      <w:r>
        <w:rPr/>
        <w:tab/>
        <w:t>Stanislavem</w:t>
      </w:r>
      <w:r>
        <w:rPr>
          <w:spacing w:val="-1"/>
        </w:rPr>
        <w:t> </w:t>
      </w:r>
      <w:r>
        <w:rPr/>
        <w:t>T</w:t>
      </w:r>
      <w:r>
        <w:rPr>
          <w:spacing w:val="-2"/>
        </w:rPr>
        <w:t> </w:t>
      </w:r>
      <w:r>
        <w:rPr/>
        <w:t>e</w:t>
      </w:r>
      <w:r>
        <w:rPr>
          <w:spacing w:val="-4"/>
        </w:rPr>
        <w:t> </w:t>
      </w:r>
      <w:r>
        <w:rPr/>
        <w:t>c</w:t>
      </w:r>
      <w:r>
        <w:rPr>
          <w:spacing w:val="-4"/>
        </w:rPr>
        <w:t> </w:t>
      </w:r>
      <w:r>
        <w:rPr/>
        <w:t>l</w:t>
      </w:r>
      <w:r>
        <w:rPr>
          <w:spacing w:val="-2"/>
        </w:rPr>
        <w:t> </w:t>
      </w:r>
      <w:r>
        <w:rPr/>
        <w:t>e</w:t>
      </w:r>
      <w:r>
        <w:rPr>
          <w:spacing w:val="-4"/>
        </w:rPr>
        <w:t> </w:t>
      </w:r>
      <w:r>
        <w:rPr/>
        <w:t>m,</w:t>
      </w:r>
      <w:r>
        <w:rPr>
          <w:spacing w:val="-4"/>
        </w:rPr>
        <w:t> </w:t>
      </w:r>
      <w:r>
        <w:rPr>
          <w:spacing w:val="-2"/>
        </w:rPr>
        <w:t>starostou</w:t>
      </w:r>
    </w:p>
    <w:p>
      <w:pPr>
        <w:pStyle w:val="BodyText"/>
        <w:tabs>
          <w:tab w:pos="2982" w:val="left" w:leader="none"/>
        </w:tabs>
        <w:spacing w:line="265" w:lineRule="exact"/>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ind w:left="102"/>
      </w:pPr>
      <w:r>
        <w:rPr/>
        <w:t>číslo</w:t>
      </w:r>
      <w:r>
        <w:rPr>
          <w:spacing w:val="-8"/>
        </w:rPr>
        <w:t> </w:t>
      </w:r>
      <w:r>
        <w:rPr>
          <w:spacing w:val="-2"/>
        </w:rPr>
        <w:t>účtu:</w:t>
      </w:r>
      <w:r>
        <w:rPr/>
        <w:tab/>
      </w:r>
      <w:r>
        <w:rPr>
          <w:w w:val="95"/>
        </w:rPr>
        <w:t>94-</w:t>
      </w:r>
      <w:r>
        <w:rPr>
          <w:spacing w:val="-2"/>
        </w:rPr>
        <w:t>14217681/0710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left="385" w:right="111"/>
        <w:jc w:val="both"/>
      </w:pPr>
      <w:r>
        <w:rPr/>
        <w:t>„Smlouva“) se uzavírá na základě Rozhodnutí ministra životního prostředí č. 7221300996 o poskytnutí finančních prostředků ze Státního fondu životního prostředí ČR ze dne 21. 3. 2024 a jeho změny č. 1 ze dne</w:t>
      </w:r>
      <w:r>
        <w:rPr>
          <w:spacing w:val="73"/>
        </w:rPr>
        <w:t> </w:t>
      </w:r>
      <w:r>
        <w:rPr/>
        <w:t>6.</w:t>
      </w:r>
      <w:r>
        <w:rPr>
          <w:spacing w:val="75"/>
        </w:rPr>
        <w:t> </w:t>
      </w:r>
      <w:r>
        <w:rPr/>
        <w:t>3.</w:t>
      </w:r>
      <w:r>
        <w:rPr>
          <w:spacing w:val="75"/>
        </w:rPr>
        <w:t> </w:t>
      </w:r>
      <w:r>
        <w:rPr/>
        <w:t>2025</w:t>
      </w:r>
      <w:r>
        <w:rPr>
          <w:spacing w:val="77"/>
        </w:rPr>
        <w:t> </w:t>
      </w:r>
      <w:r>
        <w:rPr/>
        <w:t>v</w:t>
      </w:r>
      <w:r>
        <w:rPr>
          <w:spacing w:val="-5"/>
        </w:rPr>
        <w:t> </w:t>
      </w:r>
      <w:r>
        <w:rPr/>
        <w:t>rámci</w:t>
      </w:r>
      <w:r>
        <w:rPr>
          <w:spacing w:val="74"/>
        </w:rPr>
        <w:t> </w:t>
      </w:r>
      <w:r>
        <w:rPr/>
        <w:t>Programu</w:t>
      </w:r>
      <w:r>
        <w:rPr>
          <w:spacing w:val="75"/>
        </w:rPr>
        <w:t> </w:t>
      </w:r>
      <w:r>
        <w:rPr/>
        <w:t>financovaného</w:t>
      </w:r>
      <w:r>
        <w:rPr>
          <w:spacing w:val="76"/>
        </w:rPr>
        <w:t> </w:t>
      </w:r>
      <w:r>
        <w:rPr/>
        <w:t>z</w:t>
      </w:r>
      <w:r>
        <w:rPr>
          <w:spacing w:val="1"/>
        </w:rPr>
        <w:t> </w:t>
      </w:r>
      <w:r>
        <w:rPr/>
        <w:t>prostředků</w:t>
      </w:r>
      <w:r>
        <w:rPr>
          <w:spacing w:val="74"/>
        </w:rPr>
        <w:t> </w:t>
      </w:r>
      <w:r>
        <w:rPr/>
        <w:t>Modernizačního</w:t>
      </w:r>
      <w:r>
        <w:rPr>
          <w:spacing w:val="75"/>
        </w:rPr>
        <w:t> </w:t>
      </w:r>
      <w:r>
        <w:rPr/>
        <w:t>fondu</w:t>
      </w:r>
      <w:r>
        <w:rPr>
          <w:spacing w:val="75"/>
        </w:rPr>
        <w:t> </w:t>
      </w:r>
      <w:r>
        <w:rPr/>
        <w:t>(dále</w:t>
      </w:r>
      <w:r>
        <w:rPr>
          <w:spacing w:val="74"/>
        </w:rPr>
        <w:t> </w:t>
      </w:r>
      <w:r>
        <w:rPr>
          <w:spacing w:val="-5"/>
        </w:rPr>
        <w:t>jen</w:t>
      </w:r>
    </w:p>
    <w:p>
      <w:pPr>
        <w:pStyle w:val="BodyText"/>
        <w:spacing w:before="1"/>
        <w:ind w:left="385"/>
      </w:pPr>
      <w:r>
        <w:rPr>
          <w:spacing w:val="-2"/>
        </w:rPr>
        <w:t>„Rozhodnutí“).</w:t>
      </w:r>
    </w:p>
    <w:p>
      <w:pPr>
        <w:pStyle w:val="ListParagraph"/>
        <w:numPr>
          <w:ilvl w:val="0"/>
          <w:numId w:val="1"/>
        </w:numPr>
        <w:tabs>
          <w:tab w:pos="386" w:val="left" w:leader="none"/>
        </w:tabs>
        <w:spacing w:line="240" w:lineRule="auto" w:before="118"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2"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45"/>
        <w:jc w:val="both"/>
      </w:pPr>
      <w:r>
        <w:rPr/>
        <w:t>„Instalace</w:t>
      </w:r>
      <w:r>
        <w:rPr>
          <w:spacing w:val="-7"/>
        </w:rPr>
        <w:t> </w:t>
      </w:r>
      <w:r>
        <w:rPr/>
        <w:t>FVE</w:t>
      </w:r>
      <w:r>
        <w:rPr>
          <w:spacing w:val="-7"/>
        </w:rPr>
        <w:t> </w:t>
      </w:r>
      <w:r>
        <w:rPr/>
        <w:t>na</w:t>
      </w:r>
      <w:r>
        <w:rPr>
          <w:spacing w:val="-7"/>
        </w:rPr>
        <w:t> </w:t>
      </w:r>
      <w:r>
        <w:rPr/>
        <w:t>obecní</w:t>
      </w:r>
      <w:r>
        <w:rPr>
          <w:spacing w:val="-4"/>
        </w:rPr>
        <w:t> </w:t>
      </w:r>
      <w:r>
        <w:rPr/>
        <w:t>budovy</w:t>
      </w:r>
      <w:r>
        <w:rPr>
          <w:spacing w:val="-7"/>
        </w:rPr>
        <w:t> </w:t>
      </w:r>
      <w:r>
        <w:rPr>
          <w:spacing w:val="-2"/>
        </w:rPr>
        <w:t>Herálec“</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923</w:t>
      </w:r>
      <w:r>
        <w:rPr>
          <w:b/>
          <w:spacing w:val="-1"/>
          <w:sz w:val="20"/>
        </w:rPr>
        <w:t> </w:t>
      </w:r>
      <w:r>
        <w:rPr>
          <w:b/>
          <w:sz w:val="20"/>
        </w:rPr>
        <w:t>600,34 Kč </w:t>
      </w:r>
      <w:r>
        <w:rPr>
          <w:sz w:val="20"/>
        </w:rPr>
        <w:t>(slovy: jeden milion devět set dvacet tři tisíce šest set korun českých a třicet čtyři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2 738 020,51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79"/>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 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3" w:val="left" w:leader="none"/>
        </w:tabs>
        <w:spacing w:line="240" w:lineRule="auto" w:before="118" w:after="0"/>
        <w:ind w:left="742" w:right="111" w:hanging="358"/>
        <w:jc w:val="left"/>
        <w:rPr>
          <w:sz w:val="20"/>
        </w:rPr>
      </w:pPr>
      <w:r>
        <w:rPr>
          <w:sz w:val="20"/>
        </w:rPr>
        <w:t>splní</w:t>
      </w:r>
      <w:r>
        <w:rPr>
          <w:spacing w:val="18"/>
          <w:sz w:val="20"/>
        </w:rPr>
        <w:t> </w:t>
      </w:r>
      <w:r>
        <w:rPr>
          <w:sz w:val="20"/>
        </w:rPr>
        <w:t>účel</w:t>
      </w:r>
      <w:r>
        <w:rPr>
          <w:spacing w:val="18"/>
          <w:sz w:val="20"/>
        </w:rPr>
        <w:t> </w:t>
      </w:r>
      <w:r>
        <w:rPr>
          <w:sz w:val="20"/>
        </w:rPr>
        <w:t>akce</w:t>
      </w:r>
      <w:r>
        <w:rPr>
          <w:spacing w:val="17"/>
          <w:sz w:val="20"/>
        </w:rPr>
        <w:t> </w:t>
      </w:r>
      <w:r>
        <w:rPr>
          <w:sz w:val="20"/>
        </w:rPr>
        <w:t>„Instalace</w:t>
      </w:r>
      <w:r>
        <w:rPr>
          <w:spacing w:val="17"/>
          <w:sz w:val="20"/>
        </w:rPr>
        <w:t> </w:t>
      </w:r>
      <w:r>
        <w:rPr>
          <w:sz w:val="20"/>
        </w:rPr>
        <w:t>FVE</w:t>
      </w:r>
      <w:r>
        <w:rPr>
          <w:spacing w:val="18"/>
          <w:sz w:val="20"/>
        </w:rPr>
        <w:t> </w:t>
      </w:r>
      <w:r>
        <w:rPr>
          <w:sz w:val="20"/>
        </w:rPr>
        <w:t>na</w:t>
      </w:r>
      <w:r>
        <w:rPr>
          <w:spacing w:val="18"/>
          <w:sz w:val="20"/>
        </w:rPr>
        <w:t> </w:t>
      </w:r>
      <w:r>
        <w:rPr>
          <w:sz w:val="20"/>
        </w:rPr>
        <w:t>obecní</w:t>
      </w:r>
      <w:r>
        <w:rPr>
          <w:spacing w:val="18"/>
          <w:sz w:val="20"/>
        </w:rPr>
        <w:t> </w:t>
      </w:r>
      <w:r>
        <w:rPr>
          <w:sz w:val="20"/>
        </w:rPr>
        <w:t>budovy</w:t>
      </w:r>
      <w:r>
        <w:rPr>
          <w:spacing w:val="18"/>
          <w:sz w:val="20"/>
        </w:rPr>
        <w:t> </w:t>
      </w:r>
      <w:r>
        <w:rPr>
          <w:sz w:val="20"/>
        </w:rPr>
        <w:t>Herálec“</w:t>
      </w:r>
      <w:r>
        <w:rPr>
          <w:spacing w:val="18"/>
          <w:sz w:val="20"/>
        </w:rPr>
        <w:t> </w:t>
      </w:r>
      <w:r>
        <w:rPr>
          <w:sz w:val="20"/>
        </w:rPr>
        <w:t>tím,</w:t>
      </w:r>
      <w:r>
        <w:rPr>
          <w:spacing w:val="18"/>
          <w:sz w:val="20"/>
        </w:rPr>
        <w:t> </w:t>
      </w:r>
      <w:r>
        <w:rPr>
          <w:sz w:val="20"/>
        </w:rPr>
        <w:t>že</w:t>
      </w:r>
      <w:r>
        <w:rPr>
          <w:spacing w:val="17"/>
          <w:sz w:val="20"/>
        </w:rPr>
        <w:t> </w:t>
      </w:r>
      <w:r>
        <w:rPr>
          <w:sz w:val="20"/>
        </w:rPr>
        <w:t>akce</w:t>
      </w:r>
      <w:r>
        <w:rPr>
          <w:spacing w:val="17"/>
          <w:sz w:val="20"/>
        </w:rPr>
        <w:t> </w:t>
      </w:r>
      <w:r>
        <w:rPr>
          <w:sz w:val="20"/>
        </w:rPr>
        <w:t>bude</w:t>
      </w:r>
      <w:r>
        <w:rPr>
          <w:spacing w:val="17"/>
          <w:sz w:val="20"/>
        </w:rPr>
        <w:t> </w:t>
      </w:r>
      <w:r>
        <w:rPr>
          <w:sz w:val="20"/>
        </w:rPr>
        <w:t>provedena</w:t>
      </w:r>
      <w:r>
        <w:rPr>
          <w:spacing w:val="18"/>
          <w:sz w:val="20"/>
        </w:rPr>
        <w:t> </w:t>
      </w:r>
      <w:r>
        <w:rPr>
          <w:sz w:val="20"/>
        </w:rPr>
        <w:t>v souladu s Výzvou, žádostí o podporu a jejími přílohami a touto Smlouvou,</w:t>
      </w:r>
    </w:p>
    <w:p>
      <w:pPr>
        <w:pStyle w:val="ListParagraph"/>
        <w:numPr>
          <w:ilvl w:val="1"/>
          <w:numId w:val="4"/>
        </w:numPr>
        <w:tabs>
          <w:tab w:pos="743" w:val="left" w:leader="none"/>
          <w:tab w:pos="1666" w:val="left" w:leader="none"/>
          <w:tab w:pos="2622" w:val="left" w:leader="none"/>
          <w:tab w:pos="3349" w:val="left" w:leader="none"/>
          <w:tab w:pos="4489" w:val="left" w:leader="none"/>
          <w:tab w:pos="5139" w:val="left" w:leader="none"/>
          <w:tab w:pos="6496" w:val="left" w:leader="none"/>
          <w:tab w:pos="7592" w:val="left" w:leader="none"/>
          <w:tab w:pos="8002" w:val="left" w:leader="none"/>
          <w:tab w:pos="8791" w:val="left" w:leader="none"/>
        </w:tabs>
        <w:spacing w:line="240" w:lineRule="auto" w:before="121" w:after="0"/>
        <w:ind w:left="742" w:right="0" w:hanging="358"/>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t>k</w:t>
      </w:r>
      <w:r>
        <w:rPr>
          <w:spacing w:val="1"/>
          <w:sz w:val="20"/>
        </w:rPr>
        <w:t> </w:t>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5"/>
          <w:sz w:val="20"/>
        </w:rPr>
        <w:t>se</w:t>
      </w:r>
      <w:r>
        <w:rPr>
          <w:sz w:val="20"/>
        </w:rPr>
        <w:tab/>
      </w:r>
      <w:r>
        <w:rPr>
          <w:spacing w:val="-2"/>
          <w:sz w:val="20"/>
        </w:rPr>
        <w:t>střešní</w:t>
      </w:r>
      <w:r>
        <w:rPr>
          <w:sz w:val="20"/>
        </w:rPr>
        <w:tab/>
      </w:r>
      <w:r>
        <w:rPr>
          <w:spacing w:val="-2"/>
          <w:sz w:val="20"/>
        </w:rPr>
        <w:t>instalací</w:t>
      </w:r>
    </w:p>
    <w:p>
      <w:pPr>
        <w:pStyle w:val="BodyText"/>
        <w:ind w:left="742"/>
      </w:pPr>
      <w:r>
        <w:rPr/>
        <w:t>s</w:t>
      </w:r>
      <w:r>
        <w:rPr>
          <w:spacing w:val="-7"/>
        </w:rPr>
        <w:t> </w:t>
      </w:r>
      <w:r>
        <w:rPr/>
        <w:t>předpokládaným</w:t>
      </w:r>
      <w:r>
        <w:rPr>
          <w:spacing w:val="-5"/>
        </w:rPr>
        <w:t> </w:t>
      </w:r>
      <w:r>
        <w:rPr/>
        <w:t>výkonem</w:t>
      </w:r>
      <w:r>
        <w:rPr>
          <w:spacing w:val="-5"/>
        </w:rPr>
        <w:t> </w:t>
      </w:r>
      <w:r>
        <w:rPr/>
        <w:t>82,18</w:t>
      </w:r>
      <w:r>
        <w:rPr>
          <w:spacing w:val="-4"/>
        </w:rPr>
        <w:t> </w:t>
      </w:r>
      <w:r>
        <w:rPr/>
        <w:t>kWp</w:t>
      </w:r>
      <w:r>
        <w:rPr>
          <w:spacing w:val="-6"/>
        </w:rPr>
        <w:t> </w:t>
      </w:r>
      <w:r>
        <w:rPr/>
        <w:t>a</w:t>
      </w:r>
      <w:r>
        <w:rPr>
          <w:spacing w:val="-6"/>
        </w:rPr>
        <w:t> </w:t>
      </w:r>
      <w:r>
        <w:rPr/>
        <w:t>instalaci</w:t>
      </w:r>
      <w:r>
        <w:rPr>
          <w:spacing w:val="-6"/>
        </w:rPr>
        <w:t> </w:t>
      </w:r>
      <w:r>
        <w:rPr/>
        <w:t>akumulace</w:t>
      </w:r>
      <w:r>
        <w:rPr>
          <w:spacing w:val="-7"/>
        </w:rPr>
        <w:t> </w:t>
      </w:r>
      <w:r>
        <w:rPr/>
        <w:t>o</w:t>
      </w:r>
      <w:r>
        <w:rPr>
          <w:spacing w:val="-5"/>
        </w:rPr>
        <w:t> </w:t>
      </w:r>
      <w:r>
        <w:rPr/>
        <w:t>kapacitě</w:t>
      </w:r>
      <w:r>
        <w:rPr>
          <w:spacing w:val="-6"/>
        </w:rPr>
        <w:t> </w:t>
      </w:r>
      <w:r>
        <w:rPr/>
        <w:t>27,6</w:t>
      </w:r>
      <w:r>
        <w:rPr>
          <w:spacing w:val="-5"/>
        </w:rPr>
        <w:t> </w:t>
      </w:r>
      <w:r>
        <w:rPr>
          <w:spacing w:val="-4"/>
        </w:rPr>
        <w:t>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08" w:type="dxa"/>
          </w:tcPr>
          <w:p>
            <w:pPr>
              <w:pStyle w:val="TableParagraph"/>
              <w:spacing w:before="120"/>
              <w:ind w:left="108"/>
              <w:rPr>
                <w:b/>
                <w:sz w:val="20"/>
              </w:rPr>
            </w:pPr>
            <w:r>
              <w:rPr>
                <w:b/>
                <w:spacing w:val="-2"/>
                <w:sz w:val="20"/>
              </w:rPr>
              <w:t>Cílová</w:t>
            </w:r>
          </w:p>
          <w:p>
            <w:pPr>
              <w:pStyle w:val="TableParagraph"/>
              <w:ind w:left="108"/>
              <w:rPr>
                <w:b/>
                <w:sz w:val="20"/>
              </w:rPr>
            </w:pPr>
            <w:r>
              <w:rPr>
                <w:b/>
                <w:spacing w:val="-2"/>
                <w:sz w:val="20"/>
              </w:rPr>
              <w:t>hodnota</w:t>
            </w:r>
          </w:p>
        </w:tc>
      </w:tr>
      <w:tr>
        <w:trPr>
          <w:trHeight w:val="530" w:hRule="atLeast"/>
        </w:trPr>
        <w:tc>
          <w:tcPr>
            <w:tcW w:w="3951"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27.60</w:t>
            </w:r>
          </w:p>
        </w:tc>
      </w:tr>
      <w:tr>
        <w:trPr>
          <w:trHeight w:val="505" w:hRule="atLeast"/>
        </w:trPr>
        <w:tc>
          <w:tcPr>
            <w:tcW w:w="395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2"/>
              <w:ind w:left="390"/>
              <w:rPr>
                <w:sz w:val="20"/>
              </w:rPr>
            </w:pPr>
            <w:r>
              <w:rPr>
                <w:spacing w:val="-5"/>
                <w:sz w:val="20"/>
              </w:rPr>
              <w:t>kWp</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82.18</w:t>
            </w:r>
          </w:p>
        </w:tc>
      </w:tr>
      <w:tr>
        <w:trPr>
          <w:trHeight w:val="505" w:hRule="atLeast"/>
        </w:trPr>
        <w:tc>
          <w:tcPr>
            <w:tcW w:w="3951"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2"/>
              <w:ind w:left="0" w:right="374"/>
              <w:jc w:val="right"/>
              <w:rPr>
                <w:sz w:val="20"/>
              </w:rPr>
            </w:pPr>
            <w:r>
              <w:rPr>
                <w:sz w:val="20"/>
              </w:rPr>
              <w:t>t</w:t>
            </w:r>
            <w:r>
              <w:rPr>
                <w:spacing w:val="-2"/>
                <w:sz w:val="20"/>
              </w:rPr>
              <w:t> CO2/rok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76.95</w:t>
            </w:r>
          </w:p>
        </w:tc>
      </w:tr>
      <w:tr>
        <w:trPr>
          <w:trHeight w:val="532" w:hRule="atLeast"/>
        </w:trPr>
        <w:tc>
          <w:tcPr>
            <w:tcW w:w="3951"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2"/>
              <w:ind w:left="0" w:right="398"/>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232.65</w:t>
            </w:r>
          </w:p>
        </w:tc>
      </w:tr>
      <w:tr>
        <w:trPr>
          <w:trHeight w:val="508" w:hRule="atLeast"/>
        </w:trPr>
        <w:tc>
          <w:tcPr>
            <w:tcW w:w="395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2"/>
              <w:ind w:left="0" w:right="398"/>
              <w:jc w:val="right"/>
              <w:rPr>
                <w:sz w:val="20"/>
              </w:rPr>
            </w:pPr>
            <w:r>
              <w:rPr>
                <w:spacing w:val="-2"/>
                <w:sz w:val="20"/>
              </w:rPr>
              <w:t>MWh/rok</w:t>
            </w:r>
          </w:p>
        </w:tc>
        <w:tc>
          <w:tcPr>
            <w:tcW w:w="1625" w:type="dxa"/>
          </w:tcPr>
          <w:p>
            <w:pPr>
              <w:pStyle w:val="TableParagraph"/>
              <w:spacing w:before="122"/>
              <w:ind w:left="388"/>
              <w:rPr>
                <w:sz w:val="20"/>
              </w:rPr>
            </w:pPr>
            <w:r>
              <w:rPr>
                <w:w w:val="99"/>
                <w:sz w:val="20"/>
              </w:rPr>
              <w:t>0</w:t>
            </w:r>
          </w:p>
        </w:tc>
        <w:tc>
          <w:tcPr>
            <w:tcW w:w="1608" w:type="dxa"/>
          </w:tcPr>
          <w:p>
            <w:pPr>
              <w:pStyle w:val="TableParagraph"/>
              <w:spacing w:before="122"/>
              <w:ind w:left="391"/>
              <w:rPr>
                <w:sz w:val="20"/>
              </w:rPr>
            </w:pPr>
            <w:r>
              <w:rPr>
                <w:spacing w:val="-2"/>
                <w:sz w:val="20"/>
              </w:rPr>
              <w:t>89.48</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114" w:hanging="360"/>
        <w:jc w:val="both"/>
        <w:rPr>
          <w:sz w:val="20"/>
        </w:rPr>
      </w:pPr>
      <w:r>
        <w:rPr>
          <w:sz w:val="20"/>
        </w:rPr>
        <w:t>předloží</w:t>
      </w:r>
      <w:r>
        <w:rPr>
          <w:spacing w:val="-6"/>
          <w:sz w:val="20"/>
        </w:rPr>
        <w:t> </w:t>
      </w:r>
      <w:r>
        <w:rPr>
          <w:sz w:val="20"/>
        </w:rPr>
        <w:t>Fondu</w:t>
      </w:r>
      <w:r>
        <w:rPr>
          <w:spacing w:val="-5"/>
          <w:sz w:val="20"/>
        </w:rPr>
        <w:t> </w:t>
      </w:r>
      <w:r>
        <w:rPr>
          <w:sz w:val="20"/>
        </w:rPr>
        <w:t>současně</w:t>
      </w:r>
      <w:r>
        <w:rPr>
          <w:spacing w:val="-4"/>
          <w:sz w:val="20"/>
        </w:rPr>
        <w:t> </w:t>
      </w:r>
      <w:r>
        <w:rPr>
          <w:sz w:val="20"/>
        </w:rPr>
        <w:t>s</w:t>
      </w:r>
      <w:r>
        <w:rPr>
          <w:spacing w:val="-4"/>
          <w:sz w:val="20"/>
        </w:rPr>
        <w:t> </w:t>
      </w:r>
      <w:r>
        <w:rPr>
          <w:sz w:val="20"/>
        </w:rPr>
        <w:t>žádostí</w:t>
      </w:r>
      <w:r>
        <w:rPr>
          <w:spacing w:val="-6"/>
          <w:sz w:val="20"/>
        </w:rPr>
        <w:t> </w:t>
      </w:r>
      <w:r>
        <w:rPr>
          <w:sz w:val="20"/>
        </w:rPr>
        <w:t>o</w:t>
      </w:r>
      <w:r>
        <w:rPr>
          <w:spacing w:val="-5"/>
          <w:sz w:val="20"/>
        </w:rPr>
        <w:t> </w:t>
      </w:r>
      <w:r>
        <w:rPr>
          <w:sz w:val="20"/>
        </w:rPr>
        <w:t>platbu</w:t>
      </w:r>
      <w:r>
        <w:rPr>
          <w:spacing w:val="-5"/>
          <w:sz w:val="20"/>
        </w:rPr>
        <w:t> </w:t>
      </w:r>
      <w:r>
        <w:rPr>
          <w:sz w:val="20"/>
        </w:rPr>
        <w:t>podklady</w:t>
      </w:r>
      <w:r>
        <w:rPr>
          <w:spacing w:val="-6"/>
          <w:sz w:val="20"/>
        </w:rPr>
        <w:t> </w:t>
      </w:r>
      <w:r>
        <w:rPr>
          <w:sz w:val="20"/>
        </w:rPr>
        <w:t>k</w:t>
      </w:r>
      <w:r>
        <w:rPr>
          <w:spacing w:val="-4"/>
          <w:sz w:val="20"/>
        </w:rPr>
        <w:t> </w:t>
      </w:r>
      <w:r>
        <w:rPr>
          <w:sz w:val="20"/>
        </w:rPr>
        <w:t>ZVA</w:t>
      </w:r>
      <w:r>
        <w:rPr>
          <w:spacing w:val="-4"/>
          <w:sz w:val="20"/>
        </w:rPr>
        <w:t> </w:t>
      </w:r>
      <w:r>
        <w:rPr>
          <w:sz w:val="20"/>
        </w:rPr>
        <w:t>podle</w:t>
      </w:r>
      <w:r>
        <w:rPr>
          <w:spacing w:val="-4"/>
          <w:sz w:val="20"/>
        </w:rPr>
        <w:t> </w:t>
      </w:r>
      <w:r>
        <w:rPr>
          <w:sz w:val="20"/>
        </w:rPr>
        <w:t>čl.</w:t>
      </w:r>
      <w:r>
        <w:rPr>
          <w:spacing w:val="-1"/>
          <w:sz w:val="20"/>
        </w:rPr>
        <w:t> </w:t>
      </w:r>
      <w:r>
        <w:rPr>
          <w:sz w:val="20"/>
        </w:rPr>
        <w:t>4.4</w:t>
      </w:r>
      <w:r>
        <w:rPr>
          <w:spacing w:val="-5"/>
          <w:sz w:val="20"/>
        </w:rPr>
        <w:t> </w:t>
      </w:r>
      <w:r>
        <w:rPr>
          <w:sz w:val="20"/>
        </w:rPr>
        <w:t>Výzvy,</w:t>
      </w:r>
      <w:r>
        <w:rPr>
          <w:spacing w:val="-5"/>
          <w:sz w:val="20"/>
        </w:rPr>
        <w:t> </w:t>
      </w:r>
      <w:r>
        <w:rPr>
          <w:sz w:val="20"/>
        </w:rPr>
        <w:t>a</w:t>
      </w:r>
      <w:r>
        <w:rPr>
          <w:spacing w:val="-4"/>
          <w:sz w:val="20"/>
        </w:rPr>
        <w:t> </w:t>
      </w:r>
      <w:r>
        <w:rPr>
          <w:sz w:val="20"/>
        </w:rPr>
        <w:t>to</w:t>
      </w:r>
      <w:r>
        <w:rPr>
          <w:spacing w:val="-5"/>
          <w:sz w:val="20"/>
        </w:rPr>
        <w:t> </w:t>
      </w:r>
      <w:r>
        <w:rPr>
          <w:sz w:val="20"/>
        </w:rPr>
        <w:t>nejpozději</w:t>
      </w:r>
      <w:r>
        <w:rPr>
          <w:spacing w:val="-6"/>
          <w:sz w:val="20"/>
        </w:rPr>
        <w:t> </w:t>
      </w:r>
      <w:r>
        <w:rPr>
          <w:sz w:val="20"/>
        </w:rPr>
        <w:t>do</w:t>
      </w:r>
      <w:r>
        <w:rPr>
          <w:spacing w:val="-4"/>
          <w:sz w:val="20"/>
        </w:rPr>
        <w:t> </w:t>
      </w:r>
      <w:r>
        <w:rPr>
          <w:sz w:val="20"/>
        </w:rPr>
        <w:t>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3"/>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37" w:lineRule="auto" w:before="123"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1"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0" w:hanging="284"/>
        <w:jc w:val="both"/>
        <w:rPr>
          <w:sz w:val="20"/>
        </w:rPr>
      </w:pPr>
      <w:r>
        <w:rPr>
          <w:sz w:val="20"/>
        </w:rPr>
        <w:t>vrátit</w:t>
      </w:r>
      <w:r>
        <w:rPr>
          <w:spacing w:val="-14"/>
          <w:sz w:val="20"/>
        </w:rPr>
        <w:t> </w:t>
      </w:r>
      <w:r>
        <w:rPr>
          <w:sz w:val="20"/>
        </w:rPr>
        <w:t>částku</w:t>
      </w:r>
      <w:r>
        <w:rPr>
          <w:spacing w:val="-14"/>
          <w:sz w:val="20"/>
        </w:rPr>
        <w:t> </w:t>
      </w:r>
      <w:r>
        <w:rPr>
          <w:sz w:val="20"/>
        </w:rPr>
        <w:t>DPH</w:t>
      </w:r>
      <w:r>
        <w:rPr>
          <w:spacing w:val="-13"/>
          <w:sz w:val="20"/>
        </w:rPr>
        <w:t> </w:t>
      </w:r>
      <w:r>
        <w:rPr>
          <w:sz w:val="20"/>
        </w:rPr>
        <w:t>nebo</w:t>
      </w:r>
      <w:r>
        <w:rPr>
          <w:spacing w:val="-13"/>
          <w:sz w:val="20"/>
        </w:rPr>
        <w:t> </w:t>
      </w:r>
      <w:r>
        <w:rPr>
          <w:sz w:val="20"/>
        </w:rPr>
        <w:t>její</w:t>
      </w:r>
      <w:r>
        <w:rPr>
          <w:spacing w:val="-13"/>
          <w:sz w:val="20"/>
        </w:rPr>
        <w:t> </w:t>
      </w:r>
      <w:r>
        <w:rPr>
          <w:sz w:val="20"/>
        </w:rPr>
        <w:t>část,</w:t>
      </w:r>
      <w:r>
        <w:rPr>
          <w:spacing w:val="-14"/>
          <w:sz w:val="20"/>
        </w:rPr>
        <w:t> </w:t>
      </w:r>
      <w:r>
        <w:rPr>
          <w:sz w:val="20"/>
        </w:rPr>
        <w:t>pokud</w:t>
      </w:r>
      <w:r>
        <w:rPr>
          <w:spacing w:val="-12"/>
          <w:sz w:val="20"/>
        </w:rPr>
        <w:t> </w:t>
      </w:r>
      <w:r>
        <w:rPr>
          <w:sz w:val="20"/>
        </w:rPr>
        <w:t>existuje</w:t>
      </w:r>
      <w:r>
        <w:rPr>
          <w:spacing w:val="-13"/>
          <w:sz w:val="20"/>
        </w:rPr>
        <w:t> </w:t>
      </w:r>
      <w:r>
        <w:rPr>
          <w:sz w:val="20"/>
        </w:rPr>
        <w:t>zákonný</w:t>
      </w:r>
      <w:r>
        <w:rPr>
          <w:spacing w:val="-12"/>
          <w:sz w:val="20"/>
        </w:rPr>
        <w:t> </w:t>
      </w:r>
      <w:r>
        <w:rPr>
          <w:sz w:val="20"/>
        </w:rPr>
        <w:t>nárok</w:t>
      </w:r>
      <w:r>
        <w:rPr>
          <w:spacing w:val="-14"/>
          <w:sz w:val="20"/>
        </w:rPr>
        <w:t> </w:t>
      </w:r>
      <w:r>
        <w:rPr>
          <w:sz w:val="20"/>
        </w:rPr>
        <w:t>(i</w:t>
      </w:r>
      <w:r>
        <w:rPr>
          <w:spacing w:val="-14"/>
          <w:sz w:val="20"/>
        </w:rPr>
        <w:t> </w:t>
      </w:r>
      <w:r>
        <w:rPr>
          <w:sz w:val="20"/>
        </w:rPr>
        <w:t>zpětně)</w:t>
      </w:r>
      <w:r>
        <w:rPr>
          <w:spacing w:val="-13"/>
          <w:sz w:val="20"/>
        </w:rPr>
        <w:t> </w:t>
      </w:r>
      <w:r>
        <w:rPr>
          <w:sz w:val="20"/>
        </w:rPr>
        <w:t>na</w:t>
      </w:r>
      <w:r>
        <w:rPr>
          <w:spacing w:val="-14"/>
          <w:sz w:val="20"/>
        </w:rPr>
        <w:t> </w:t>
      </w:r>
      <w:r>
        <w:rPr>
          <w:sz w:val="20"/>
        </w:rPr>
        <w:t>její</w:t>
      </w:r>
      <w:r>
        <w:rPr>
          <w:spacing w:val="-14"/>
          <w:sz w:val="20"/>
        </w:rPr>
        <w:t> </w:t>
      </w:r>
      <w:r>
        <w:rPr>
          <w:sz w:val="20"/>
        </w:rPr>
        <w:t>odpočet,</w:t>
      </w:r>
      <w:r>
        <w:rPr>
          <w:spacing w:val="-12"/>
          <w:sz w:val="20"/>
        </w:rPr>
        <w:t> </w:t>
      </w:r>
      <w:r>
        <w:rPr>
          <w:sz w:val="20"/>
        </w:rPr>
        <w:t>tj.</w:t>
      </w:r>
      <w:r>
        <w:rPr>
          <w:spacing w:val="-14"/>
          <w:sz w:val="20"/>
        </w:rPr>
        <w:t> </w:t>
      </w:r>
      <w:r>
        <w:rPr>
          <w:sz w:val="20"/>
        </w:rPr>
        <w:t>bez</w:t>
      </w:r>
      <w:r>
        <w:rPr>
          <w:spacing w:val="-13"/>
          <w:sz w:val="20"/>
        </w:rPr>
        <w:t> </w:t>
      </w:r>
      <w:r>
        <w:rPr>
          <w:spacing w:val="-2"/>
          <w:sz w:val="20"/>
        </w:rPr>
        <w:t>ohledu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right="119"/>
        <w:jc w:val="both"/>
      </w:pPr>
      <w:r>
        <w:rPr/>
        <w:t>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8"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3"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19"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0"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1"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pPr>
      <w:r>
        <w:rPr/>
        <w:t>V</w:t>
      </w:r>
      <w:r>
        <w:rPr>
          <w:spacing w:val="16"/>
        </w:rPr>
        <w:t> </w:t>
      </w:r>
      <w:r>
        <w:rPr/>
        <w:t>případě</w:t>
      </w:r>
      <w:r>
        <w:rPr>
          <w:spacing w:val="14"/>
        </w:rPr>
        <w:t> </w:t>
      </w:r>
      <w:r>
        <w:rPr/>
        <w:t>nesplnění</w:t>
      </w:r>
      <w:r>
        <w:rPr>
          <w:spacing w:val="15"/>
        </w:rPr>
        <w:t> </w:t>
      </w:r>
      <w:r>
        <w:rPr/>
        <w:t>nebo</w:t>
      </w:r>
      <w:r>
        <w:rPr>
          <w:spacing w:val="17"/>
        </w:rPr>
        <w:t> </w:t>
      </w:r>
      <w:r>
        <w:rPr/>
        <w:t>částečného</w:t>
      </w:r>
      <w:r>
        <w:rPr>
          <w:spacing w:val="17"/>
        </w:rPr>
        <w:t> </w:t>
      </w:r>
      <w:r>
        <w:rPr/>
        <w:t>naplnění</w:t>
      </w:r>
      <w:r>
        <w:rPr>
          <w:spacing w:val="15"/>
        </w:rPr>
        <w:t> </w:t>
      </w:r>
      <w:r>
        <w:rPr/>
        <w:t>více</w:t>
      </w:r>
      <w:r>
        <w:rPr>
          <w:spacing w:val="14"/>
        </w:rPr>
        <w:t> </w:t>
      </w:r>
      <w:r>
        <w:rPr/>
        <w:t>než</w:t>
      </w:r>
      <w:r>
        <w:rPr>
          <w:spacing w:val="16"/>
        </w:rPr>
        <w:t> </w:t>
      </w:r>
      <w:r>
        <w:rPr/>
        <w:t>jednoho</w:t>
      </w:r>
      <w:r>
        <w:rPr>
          <w:spacing w:val="16"/>
        </w:rPr>
        <w:t> </w:t>
      </w:r>
      <w:r>
        <w:rPr/>
        <w:t>ze</w:t>
      </w:r>
      <w:r>
        <w:rPr>
          <w:spacing w:val="15"/>
        </w:rPr>
        <w:t> </w:t>
      </w:r>
      <w:r>
        <w:rPr/>
        <w:t>závazných</w:t>
      </w:r>
      <w:r>
        <w:rPr>
          <w:spacing w:val="15"/>
        </w:rPr>
        <w:t> </w:t>
      </w:r>
      <w:r>
        <w:rPr/>
        <w:t>indikátorů</w:t>
      </w:r>
      <w:r>
        <w:rPr>
          <w:spacing w:val="19"/>
        </w:rPr>
        <w:t> </w:t>
      </w:r>
      <w:r>
        <w:rPr/>
        <w:t>akce</w:t>
      </w:r>
      <w:r>
        <w:rPr>
          <w:spacing w:val="14"/>
        </w:rPr>
        <w:t> </w:t>
      </w:r>
      <w:r>
        <w:rPr>
          <w:spacing w:val="-2"/>
        </w:rPr>
        <w:t>podle</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385" w:right="119"/>
        <w:jc w:val="both"/>
      </w:pPr>
      <w:r>
        <w:rPr/>
        <w:t>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18"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19"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2"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spacing w:before="11"/>
        <w:rPr>
          <w:sz w:val="19"/>
        </w:rPr>
      </w:pPr>
    </w:p>
    <w:p>
      <w:pPr>
        <w:pStyle w:val="Heading1"/>
      </w:pPr>
      <w:r>
        <w:rPr>
          <w:spacing w:val="-5"/>
        </w:rPr>
        <w:t>VI.</w:t>
      </w:r>
    </w:p>
    <w:p>
      <w:pPr>
        <w:pStyle w:val="Heading2"/>
        <w:spacing w:before="1"/>
        <w:ind w:right="105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before="1"/>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18"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left"/>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pPr>
      <w:r>
        <w:rPr/>
        <w:t>o</w:t>
      </w:r>
      <w:r>
        <w:rPr>
          <w:spacing w:val="-3"/>
        </w:rPr>
        <w:t> </w:t>
      </w:r>
      <w:r>
        <w:rPr/>
        <w:t>registru smluv (zákon o registru smluv), ve</w:t>
      </w:r>
      <w:r>
        <w:rPr>
          <w:spacing w:val="-1"/>
        </w:rPr>
        <w:t> </w:t>
      </w:r>
      <w:r>
        <w:rPr/>
        <w:t>znění pozdějších předpisů, pokud zveřejnění této Smlouvy tento zákon ukládá.</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235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361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2" w:hanging="358"/>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58"/>
      </w:pPr>
      <w:rPr>
        <w:rFonts w:hint="default"/>
        <w:lang w:val="cs-CZ" w:eastAsia="en-US" w:bidi="ar-SA"/>
      </w:rPr>
    </w:lvl>
    <w:lvl w:ilvl="3">
      <w:start w:val="0"/>
      <w:numFmt w:val="bullet"/>
      <w:lvlText w:val="•"/>
      <w:lvlJc w:val="left"/>
      <w:pPr>
        <w:ind w:left="900" w:hanging="358"/>
      </w:pPr>
      <w:rPr>
        <w:rFonts w:hint="default"/>
        <w:lang w:val="cs-CZ" w:eastAsia="en-US" w:bidi="ar-SA"/>
      </w:rPr>
    </w:lvl>
    <w:lvl w:ilvl="4">
      <w:start w:val="0"/>
      <w:numFmt w:val="bullet"/>
      <w:lvlText w:val="•"/>
      <w:lvlJc w:val="left"/>
      <w:pPr>
        <w:ind w:left="2145" w:hanging="358"/>
      </w:pPr>
      <w:rPr>
        <w:rFonts w:hint="default"/>
        <w:lang w:val="cs-CZ" w:eastAsia="en-US" w:bidi="ar-SA"/>
      </w:rPr>
    </w:lvl>
    <w:lvl w:ilvl="5">
      <w:start w:val="0"/>
      <w:numFmt w:val="bullet"/>
      <w:lvlText w:val="•"/>
      <w:lvlJc w:val="left"/>
      <w:pPr>
        <w:ind w:left="3391" w:hanging="358"/>
      </w:pPr>
      <w:rPr>
        <w:rFonts w:hint="default"/>
        <w:lang w:val="cs-CZ" w:eastAsia="en-US" w:bidi="ar-SA"/>
      </w:rPr>
    </w:lvl>
    <w:lvl w:ilvl="6">
      <w:start w:val="0"/>
      <w:numFmt w:val="bullet"/>
      <w:lvlText w:val="•"/>
      <w:lvlJc w:val="left"/>
      <w:pPr>
        <w:ind w:left="4637" w:hanging="358"/>
      </w:pPr>
      <w:rPr>
        <w:rFonts w:hint="default"/>
        <w:lang w:val="cs-CZ" w:eastAsia="en-US" w:bidi="ar-SA"/>
      </w:rPr>
    </w:lvl>
    <w:lvl w:ilvl="7">
      <w:start w:val="0"/>
      <w:numFmt w:val="bullet"/>
      <w:lvlText w:val="•"/>
      <w:lvlJc w:val="left"/>
      <w:pPr>
        <w:ind w:left="5882" w:hanging="358"/>
      </w:pPr>
      <w:rPr>
        <w:rFonts w:hint="default"/>
        <w:lang w:val="cs-CZ" w:eastAsia="en-US" w:bidi="ar-SA"/>
      </w:rPr>
    </w:lvl>
    <w:lvl w:ilvl="8">
      <w:start w:val="0"/>
      <w:numFmt w:val="bullet"/>
      <w:lvlText w:val="•"/>
      <w:lvlJc w:val="left"/>
      <w:pPr>
        <w:ind w:left="7128" w:hanging="358"/>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2025-04-28T09:06:08Z</dcterms:created>
  <dcterms:modified xsi:type="dcterms:W3CDTF">2025-04-28T09:06:08Z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Microsoft® Word pro Microsoft 365</vt:lpwstr>
  </property>
  <property fmtid="{D5CDD505-2E9C-101B-9397-08002B2CF9AE}" pid="4" name="LastSaved">
    <vt:filetime>2025-04-28T00:00:00Z</vt:filetime>
  </property>
</Properties>
</file>