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3C38100E">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12B04CDF"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 xml:space="preserve">o výkonu technického dozoru </w:t>
      </w:r>
      <w:r w:rsidR="002F59D7">
        <w:rPr>
          <w:rFonts w:ascii="Open Sans" w:hAnsi="Open Sans" w:cs="Open Sans"/>
          <w:i w:val="0"/>
          <w:sz w:val="32"/>
          <w:szCs w:val="32"/>
          <w:lang w:val="cs-CZ"/>
        </w:rPr>
        <w:t>stavebníka</w:t>
      </w:r>
    </w:p>
    <w:p w14:paraId="6D868ECA" w14:textId="77777777" w:rsidR="005636F0" w:rsidRDefault="005636F0" w:rsidP="005D411D">
      <w:pPr>
        <w:pStyle w:val="Podnadpis"/>
        <w:rPr>
          <w:rFonts w:ascii="Open Sans" w:hAnsi="Open Sans" w:cs="Open Sans"/>
          <w:sz w:val="32"/>
          <w:szCs w:val="32"/>
        </w:rPr>
      </w:pPr>
      <w:r w:rsidRPr="005636F0">
        <w:rPr>
          <w:rFonts w:ascii="Open Sans" w:hAnsi="Open Sans" w:cs="Open Sans"/>
          <w:sz w:val="32"/>
          <w:szCs w:val="32"/>
        </w:rPr>
        <w:t xml:space="preserve">Oprava omítek a kamenných prvků průčelí budovy čp. 51, Mělník </w:t>
      </w:r>
    </w:p>
    <w:p w14:paraId="27BD32AC" w14:textId="04CA649C" w:rsidR="005D411D" w:rsidRPr="00E472AA" w:rsidRDefault="005D411D" w:rsidP="005D411D">
      <w:pPr>
        <w:pStyle w:val="Podnadpis"/>
        <w:rPr>
          <w:rFonts w:ascii="Open Sans" w:hAnsi="Open Sans" w:cs="Open Sans"/>
          <w:sz w:val="20"/>
          <w:lang w:val="cs-CZ"/>
        </w:rPr>
      </w:pPr>
      <w:r w:rsidRPr="00E472AA">
        <w:rPr>
          <w:rFonts w:ascii="Open Sans" w:hAnsi="Open Sans" w:cs="Open Sans"/>
          <w:sz w:val="20"/>
        </w:rPr>
        <w:t xml:space="preserve">ev. č. </w:t>
      </w:r>
      <w:r w:rsidR="005636F0">
        <w:rPr>
          <w:rFonts w:ascii="Open Sans" w:hAnsi="Open Sans" w:cs="Open Sans"/>
          <w:sz w:val="20"/>
          <w:lang w:val="cs-CZ"/>
        </w:rPr>
        <w:t>4</w:t>
      </w:r>
      <w:r w:rsidR="00B83868">
        <w:rPr>
          <w:rFonts w:ascii="Open Sans" w:hAnsi="Open Sans" w:cs="Open Sans"/>
          <w:sz w:val="20"/>
          <w:lang w:val="cs-CZ"/>
        </w:rPr>
        <w:t>9</w:t>
      </w:r>
      <w:r w:rsidR="005636F0">
        <w:rPr>
          <w:rFonts w:ascii="Open Sans" w:hAnsi="Open Sans" w:cs="Open Sans"/>
          <w:sz w:val="20"/>
          <w:lang w:val="cs-CZ"/>
        </w:rPr>
        <w:t>4</w:t>
      </w:r>
      <w:r>
        <w:rPr>
          <w:rFonts w:ascii="Open Sans" w:hAnsi="Open Sans" w:cs="Open Sans"/>
          <w:sz w:val="20"/>
          <w:lang w:val="cs-CZ"/>
        </w:rPr>
        <w:t>/2025/SS</w:t>
      </w:r>
    </w:p>
    <w:p w14:paraId="0DF3BF76" w14:textId="2A34B451"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r w:rsidRPr="00A41252">
        <w:rPr>
          <w:rFonts w:ascii="Open Sans" w:hAnsi="Open Sans" w:cs="Open Sans"/>
          <w:sz w:val="20"/>
        </w:rPr>
        <w:t>č.ú</w:t>
      </w:r>
      <w:proofErr w:type="spellEnd"/>
      <w:r w:rsidRPr="00A41252">
        <w:rPr>
          <w:rFonts w:ascii="Open Sans" w:hAnsi="Open Sans" w:cs="Open Sans"/>
          <w:sz w:val="20"/>
        </w:rPr>
        <w:t>.: 27-046 000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0339C1CF" w:rsidR="00475EB2" w:rsidRPr="005D411D"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technických: </w:t>
      </w:r>
      <w:r w:rsidR="005D411D" w:rsidRPr="005D411D">
        <w:rPr>
          <w:rFonts w:ascii="Open Sans" w:hAnsi="Open Sans" w:cs="Open Sans"/>
          <w:sz w:val="20"/>
        </w:rPr>
        <w:t>Ing. Petr Švihlík</w:t>
      </w:r>
      <w:r w:rsidRPr="005D411D">
        <w:rPr>
          <w:rFonts w:ascii="Open Sans" w:hAnsi="Open Sans" w:cs="Open Sans"/>
          <w:sz w:val="20"/>
        </w:rPr>
        <w:t xml:space="preserve">, </w:t>
      </w:r>
      <w:proofErr w:type="spellStart"/>
      <w:r w:rsidR="00D63FC3">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6A53F241" w14:textId="7A2D1496" w:rsidR="00A41252" w:rsidRPr="00A41252" w:rsidRDefault="000626B7" w:rsidP="00A41252">
      <w:pPr>
        <w:pStyle w:val="slovanseznam"/>
        <w:numPr>
          <w:ilvl w:val="1"/>
          <w:numId w:val="35"/>
        </w:numPr>
        <w:contextualSpacing/>
        <w:jc w:val="left"/>
        <w:rPr>
          <w:rFonts w:ascii="Open Sans" w:hAnsi="Open Sans" w:cs="Open Sans"/>
          <w:sz w:val="20"/>
        </w:rPr>
      </w:pPr>
      <w:r w:rsidRPr="008A083D">
        <w:rPr>
          <w:rFonts w:ascii="Open Sans" w:hAnsi="Open Sans" w:cs="Open Sans"/>
          <w:b/>
          <w:sz w:val="20"/>
          <w:lang w:eastAsia="en-US"/>
        </w:rPr>
        <w:t xml:space="preserve">JD-Stavební Inženýrství, s.r.o. </w:t>
      </w:r>
      <w:r w:rsidR="00A41252" w:rsidRPr="008A083D">
        <w:rPr>
          <w:rFonts w:ascii="Open Sans" w:hAnsi="Open Sans" w:cs="Open Sans"/>
          <w:sz w:val="20"/>
        </w:rPr>
        <w:t xml:space="preserve">se sídlem </w:t>
      </w:r>
      <w:r w:rsidRPr="008A083D">
        <w:rPr>
          <w:rFonts w:ascii="Open Sans" w:hAnsi="Open Sans" w:cs="Open Sans"/>
          <w:sz w:val="20"/>
        </w:rPr>
        <w:t>Nová 209/13, 276 01 Mělník</w:t>
      </w:r>
      <w:r w:rsidR="00A41252" w:rsidRPr="008A083D">
        <w:rPr>
          <w:rFonts w:ascii="Open Sans" w:hAnsi="Open Sans" w:cs="Open Sans"/>
          <w:sz w:val="20"/>
        </w:rPr>
        <w:br/>
        <w:t xml:space="preserve">IČ: </w:t>
      </w:r>
      <w:r w:rsidR="008A083D" w:rsidRPr="008A083D">
        <w:rPr>
          <w:rFonts w:ascii="Open Sans" w:hAnsi="Open Sans" w:cs="Open Sans"/>
          <w:sz w:val="20"/>
        </w:rPr>
        <w:t xml:space="preserve">24189383, </w:t>
      </w:r>
      <w:r w:rsidR="00A41252" w:rsidRPr="008A083D">
        <w:rPr>
          <w:rFonts w:ascii="Open Sans" w:hAnsi="Open Sans" w:cs="Open Sans"/>
          <w:sz w:val="20"/>
        </w:rPr>
        <w:t xml:space="preserve">DIČ: </w:t>
      </w:r>
      <w:r w:rsidR="008A083D" w:rsidRPr="008A083D">
        <w:rPr>
          <w:rFonts w:ascii="Open Sans" w:hAnsi="Open Sans" w:cs="Open Sans"/>
          <w:sz w:val="20"/>
        </w:rPr>
        <w:t>CZ24189383</w:t>
      </w:r>
      <w:r w:rsidR="00A41252" w:rsidRPr="008A083D">
        <w:rPr>
          <w:rFonts w:ascii="Open Sans" w:hAnsi="Open Sans" w:cs="Open Sans"/>
          <w:sz w:val="20"/>
          <w:lang w:eastAsia="en-US"/>
        </w:rPr>
        <w:t xml:space="preserve">, </w:t>
      </w:r>
      <w:r w:rsidR="00A41252" w:rsidRPr="008A083D">
        <w:rPr>
          <w:rFonts w:ascii="Open Sans" w:hAnsi="Open Sans" w:cs="Open Sans"/>
          <w:sz w:val="20"/>
        </w:rPr>
        <w:br/>
        <w:t>bankovní spojení</w:t>
      </w:r>
      <w:r w:rsidR="008A083D" w:rsidRPr="008A083D">
        <w:rPr>
          <w:rFonts w:ascii="Open Sans" w:hAnsi="Open Sans" w:cs="Open Sans"/>
          <w:sz w:val="20"/>
        </w:rPr>
        <w:t xml:space="preserve"> MONETA Money Bank</w:t>
      </w:r>
      <w:r w:rsidR="00A41252" w:rsidRPr="008A083D">
        <w:rPr>
          <w:rFonts w:ascii="Open Sans" w:hAnsi="Open Sans" w:cs="Open Sans"/>
          <w:sz w:val="20"/>
          <w:lang w:eastAsia="en-US"/>
        </w:rPr>
        <w:t>,</w:t>
      </w:r>
      <w:r w:rsidR="008A083D" w:rsidRPr="008A083D">
        <w:rPr>
          <w:rFonts w:ascii="Open Sans" w:hAnsi="Open Sans" w:cs="Open Sans"/>
          <w:sz w:val="20"/>
          <w:lang w:eastAsia="en-US"/>
        </w:rPr>
        <w:t xml:space="preserve"> a.s.,</w:t>
      </w:r>
      <w:r w:rsidR="00A41252" w:rsidRPr="008A083D">
        <w:rPr>
          <w:rFonts w:ascii="Open Sans" w:hAnsi="Open Sans" w:cs="Open Sans"/>
          <w:sz w:val="20"/>
          <w:lang w:eastAsia="en-US"/>
        </w:rPr>
        <w:t xml:space="preserve"> </w:t>
      </w:r>
      <w:r w:rsidR="00A41252" w:rsidRPr="008A083D">
        <w:rPr>
          <w:rFonts w:ascii="Open Sans" w:hAnsi="Open Sans" w:cs="Open Sans"/>
          <w:sz w:val="20"/>
        </w:rPr>
        <w:t>číslo účtu</w:t>
      </w:r>
      <w:r w:rsidR="008A083D" w:rsidRPr="008A083D">
        <w:rPr>
          <w:rFonts w:ascii="Open Sans" w:hAnsi="Open Sans" w:cs="Open Sans"/>
          <w:sz w:val="20"/>
        </w:rPr>
        <w:t>: 222741541/0600</w:t>
      </w:r>
      <w:r w:rsidR="00A41252" w:rsidRPr="008A083D">
        <w:rPr>
          <w:rFonts w:ascii="Open Sans" w:hAnsi="Open Sans" w:cs="Open Sans"/>
          <w:sz w:val="20"/>
          <w:lang w:eastAsia="en-US"/>
        </w:rPr>
        <w:t>,</w:t>
      </w:r>
      <w:r w:rsidR="00A41252" w:rsidRPr="00A41252">
        <w:rPr>
          <w:rFonts w:ascii="Open Sans" w:hAnsi="Open Sans" w:cs="Open Sans"/>
          <w:sz w:val="20"/>
          <w:highlight w:val="yellow"/>
        </w:rPr>
        <w:br/>
      </w:r>
      <w:r w:rsidR="00A41252" w:rsidRPr="008A083D">
        <w:rPr>
          <w:rFonts w:ascii="Open Sans" w:hAnsi="Open Sans" w:cs="Open Sans"/>
          <w:sz w:val="20"/>
        </w:rPr>
        <w:t>zastoupen</w:t>
      </w:r>
      <w:r w:rsidR="008A083D" w:rsidRPr="008A083D">
        <w:rPr>
          <w:rFonts w:ascii="Open Sans" w:hAnsi="Open Sans" w:cs="Open Sans"/>
          <w:sz w:val="20"/>
        </w:rPr>
        <w:t xml:space="preserve">: Ing. Jakubem </w:t>
      </w:r>
      <w:proofErr w:type="spellStart"/>
      <w:r w:rsidR="008A083D" w:rsidRPr="008A083D">
        <w:rPr>
          <w:rFonts w:ascii="Open Sans" w:hAnsi="Open Sans" w:cs="Open Sans"/>
          <w:sz w:val="20"/>
        </w:rPr>
        <w:t>Dušátkem</w:t>
      </w:r>
      <w:proofErr w:type="spellEnd"/>
      <w:r w:rsidR="008A083D" w:rsidRPr="008A083D">
        <w:rPr>
          <w:rFonts w:ascii="Open Sans" w:hAnsi="Open Sans" w:cs="Open Sans"/>
          <w:sz w:val="20"/>
        </w:rPr>
        <w:t xml:space="preserve"> - jednatelem</w:t>
      </w:r>
    </w:p>
    <w:p w14:paraId="4058852B" w14:textId="77777777" w:rsidR="00D63FC3" w:rsidRDefault="00A41252" w:rsidP="00A41252">
      <w:pPr>
        <w:pStyle w:val="slovanseznam"/>
        <w:numPr>
          <w:ilvl w:val="0"/>
          <w:numId w:val="0"/>
        </w:numPr>
        <w:spacing w:before="0"/>
        <w:ind w:left="709"/>
        <w:jc w:val="left"/>
        <w:rPr>
          <w:rFonts w:ascii="Open Sans" w:hAnsi="Open Sans" w:cs="Open Sans"/>
          <w:sz w:val="20"/>
          <w:lang w:eastAsia="en-US"/>
        </w:rPr>
      </w:pPr>
      <w:r w:rsidRPr="008A083D">
        <w:rPr>
          <w:rFonts w:ascii="Open Sans" w:hAnsi="Open Sans" w:cs="Open Sans"/>
          <w:sz w:val="20"/>
          <w:lang w:eastAsia="en-US"/>
        </w:rPr>
        <w:t>kontaktní osoba</w:t>
      </w:r>
      <w:r w:rsidRPr="008A083D">
        <w:rPr>
          <w:rFonts w:ascii="Open Sans" w:hAnsi="Open Sans" w:cs="Open Sans"/>
          <w:b/>
          <w:sz w:val="20"/>
          <w:lang w:eastAsia="en-US"/>
        </w:rPr>
        <w:t xml:space="preserve">: </w:t>
      </w:r>
      <w:r w:rsidR="008A083D" w:rsidRPr="008A083D">
        <w:rPr>
          <w:rFonts w:ascii="Open Sans" w:hAnsi="Open Sans" w:cs="Open Sans"/>
          <w:sz w:val="20"/>
          <w:lang w:eastAsia="en-US"/>
        </w:rPr>
        <w:t xml:space="preserve">Ing. Jakub </w:t>
      </w:r>
      <w:proofErr w:type="spellStart"/>
      <w:r w:rsidR="008A083D" w:rsidRPr="008A083D">
        <w:rPr>
          <w:rFonts w:ascii="Open Sans" w:hAnsi="Open Sans" w:cs="Open Sans"/>
          <w:sz w:val="20"/>
          <w:lang w:eastAsia="en-US"/>
        </w:rPr>
        <w:t>Dušátko</w:t>
      </w:r>
      <w:proofErr w:type="spellEnd"/>
      <w:r w:rsidRPr="008A083D">
        <w:rPr>
          <w:rFonts w:ascii="Open Sans" w:hAnsi="Open Sans" w:cs="Open Sans"/>
          <w:sz w:val="20"/>
          <w:lang w:eastAsia="en-US"/>
        </w:rPr>
        <w:t xml:space="preserve">, </w:t>
      </w:r>
      <w:proofErr w:type="spellStart"/>
      <w:r w:rsidR="00D63FC3">
        <w:rPr>
          <w:rFonts w:ascii="Open Sans" w:hAnsi="Open Sans" w:cs="Open Sans"/>
          <w:sz w:val="20"/>
          <w:lang w:eastAsia="en-US"/>
        </w:rPr>
        <w:t>xxx</w:t>
      </w:r>
      <w:proofErr w:type="spellEnd"/>
    </w:p>
    <w:p w14:paraId="31818EF1" w14:textId="2DA57A7B" w:rsidR="00A41252" w:rsidRDefault="00A41252" w:rsidP="00A41252">
      <w:pPr>
        <w:pStyle w:val="slovanseznam"/>
        <w:numPr>
          <w:ilvl w:val="0"/>
          <w:numId w:val="0"/>
        </w:numPr>
        <w:spacing w:before="0"/>
        <w:ind w:left="709"/>
        <w:jc w:val="left"/>
        <w:rPr>
          <w:rFonts w:ascii="Open Sans" w:hAnsi="Open Sans" w:cs="Open Sans"/>
          <w:sz w:val="20"/>
          <w:lang w:eastAsia="en-US"/>
        </w:rPr>
      </w:pPr>
      <w:r w:rsidRPr="008A083D">
        <w:rPr>
          <w:rFonts w:ascii="Open Sans" w:hAnsi="Open Sans" w:cs="Open Sans"/>
          <w:sz w:val="20"/>
        </w:rPr>
        <w:t xml:space="preserve">společnost zapsána v obchodním rejstříku </w:t>
      </w:r>
      <w:r w:rsidR="008A083D" w:rsidRPr="008A083D">
        <w:rPr>
          <w:rFonts w:ascii="Open Sans" w:hAnsi="Open Sans" w:cs="Open Sans"/>
          <w:sz w:val="20"/>
          <w:lang w:eastAsia="en-US"/>
        </w:rPr>
        <w:t>Městským</w:t>
      </w:r>
      <w:r w:rsidRPr="008A083D">
        <w:rPr>
          <w:rFonts w:ascii="Open Sans" w:hAnsi="Open Sans" w:cs="Open Sans"/>
          <w:sz w:val="20"/>
          <w:lang w:eastAsia="en-US"/>
        </w:rPr>
        <w:t xml:space="preserve"> </w:t>
      </w:r>
      <w:r w:rsidRPr="008A083D">
        <w:rPr>
          <w:rFonts w:ascii="Open Sans" w:hAnsi="Open Sans" w:cs="Open Sans"/>
          <w:sz w:val="20"/>
        </w:rPr>
        <w:t xml:space="preserve">soudu v </w:t>
      </w:r>
      <w:r w:rsidR="008A083D" w:rsidRPr="008A083D">
        <w:rPr>
          <w:rFonts w:ascii="Open Sans" w:hAnsi="Open Sans" w:cs="Open Sans"/>
          <w:sz w:val="20"/>
        </w:rPr>
        <w:t>Praze</w:t>
      </w:r>
      <w:r w:rsidRPr="008A083D">
        <w:rPr>
          <w:rFonts w:ascii="Open Sans" w:hAnsi="Open Sans" w:cs="Open Sans"/>
          <w:sz w:val="20"/>
          <w:lang w:eastAsia="en-US"/>
        </w:rPr>
        <w:t xml:space="preserve">, </w:t>
      </w:r>
      <w:r w:rsidRPr="008A083D">
        <w:rPr>
          <w:rFonts w:ascii="Open Sans" w:hAnsi="Open Sans" w:cs="Open Sans"/>
          <w:sz w:val="20"/>
        </w:rPr>
        <w:t xml:space="preserve">oddíl </w:t>
      </w:r>
      <w:r w:rsidR="008A083D" w:rsidRPr="008A083D">
        <w:rPr>
          <w:rFonts w:ascii="Open Sans" w:hAnsi="Open Sans" w:cs="Open Sans"/>
          <w:sz w:val="20"/>
        </w:rPr>
        <w:t>C</w:t>
      </w:r>
      <w:r w:rsidRPr="008A083D">
        <w:rPr>
          <w:rFonts w:ascii="Open Sans" w:hAnsi="Open Sans" w:cs="Open Sans"/>
          <w:sz w:val="20"/>
          <w:lang w:eastAsia="en-US"/>
        </w:rPr>
        <w:t xml:space="preserve">, </w:t>
      </w:r>
      <w:r w:rsidRPr="008A083D">
        <w:rPr>
          <w:rFonts w:ascii="Open Sans" w:hAnsi="Open Sans" w:cs="Open Sans"/>
          <w:sz w:val="20"/>
        </w:rPr>
        <w:t xml:space="preserve">vložka </w:t>
      </w:r>
      <w:r w:rsidR="008A083D" w:rsidRPr="008A083D">
        <w:rPr>
          <w:rFonts w:ascii="Open Sans" w:hAnsi="Open Sans" w:cs="Open Sans"/>
          <w:sz w:val="20"/>
          <w:lang w:eastAsia="en-US"/>
        </w:rPr>
        <w:t>187129</w:t>
      </w:r>
      <w:r w:rsidRPr="008A083D">
        <w:rPr>
          <w:rFonts w:ascii="Open Sans" w:hAnsi="Open Sans" w:cs="Open Sans"/>
          <w:sz w:val="20"/>
          <w:lang w:eastAsia="en-US"/>
        </w:rPr>
        <w:t>],</w:t>
      </w:r>
    </w:p>
    <w:p w14:paraId="13343DFD" w14:textId="3D9CECCA" w:rsidR="002B1B01" w:rsidRPr="00E472AA" w:rsidRDefault="002B1B01" w:rsidP="00A41252">
      <w:pPr>
        <w:pStyle w:val="slovanseznam"/>
        <w:numPr>
          <w:ilvl w:val="0"/>
          <w:numId w:val="0"/>
        </w:numPr>
        <w:ind w:left="709"/>
        <w:contextualSpacing/>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říkazník</w:t>
      </w:r>
      <w:r w:rsidRPr="00E472AA">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5636F0"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29327EF3" w:rsidR="003451AF" w:rsidRPr="005636F0" w:rsidRDefault="003451AF" w:rsidP="005636F0">
      <w:pPr>
        <w:pStyle w:val="slovanseznam"/>
        <w:numPr>
          <w:ilvl w:val="1"/>
          <w:numId w:val="35"/>
        </w:numPr>
        <w:rPr>
          <w:rFonts w:ascii="Open Sans" w:hAnsi="Open Sans" w:cs="Open Sans"/>
          <w:sz w:val="20"/>
        </w:rPr>
      </w:pPr>
      <w:r w:rsidRPr="005636F0">
        <w:rPr>
          <w:rFonts w:ascii="Open Sans" w:hAnsi="Open Sans" w:cs="Open Sans"/>
          <w:sz w:val="20"/>
        </w:rPr>
        <w:t xml:space="preserve">Příkazce uzavřel smlouvu o dílo se společností </w:t>
      </w:r>
      <w:proofErr w:type="spellStart"/>
      <w:r w:rsidR="005636F0" w:rsidRPr="005636F0">
        <w:rPr>
          <w:rFonts w:ascii="Open Sans" w:hAnsi="Open Sans" w:cs="Open Sans"/>
          <w:b/>
          <w:bCs/>
          <w:sz w:val="20"/>
          <w:lang w:eastAsia="en-US"/>
        </w:rPr>
        <w:t>Kontrapost</w:t>
      </w:r>
      <w:proofErr w:type="spellEnd"/>
      <w:r w:rsidR="005636F0" w:rsidRPr="005636F0">
        <w:rPr>
          <w:rFonts w:ascii="Open Sans" w:hAnsi="Open Sans" w:cs="Open Sans"/>
          <w:b/>
          <w:bCs/>
          <w:sz w:val="20"/>
          <w:lang w:eastAsia="en-US"/>
        </w:rPr>
        <w:t xml:space="preserve"> s.r.o., </w:t>
      </w:r>
      <w:r w:rsidR="005636F0" w:rsidRPr="005636F0">
        <w:rPr>
          <w:rFonts w:ascii="Open Sans" w:hAnsi="Open Sans" w:cs="Open Sans"/>
          <w:sz w:val="20"/>
          <w:lang w:eastAsia="en-US"/>
        </w:rPr>
        <w:t>se sídlem: Korunní 2569/108, Vinohrady PSČ: 101 00 Praha 10, IČ: 09808906</w:t>
      </w:r>
      <w:r w:rsidR="005636F0" w:rsidRPr="005636F0">
        <w:rPr>
          <w:rFonts w:ascii="Open Sans" w:hAnsi="Open Sans" w:cs="Open Sans"/>
          <w:b/>
          <w:i/>
          <w:sz w:val="20"/>
          <w:lang w:eastAsia="en-US"/>
        </w:rPr>
        <w:t xml:space="preserve"> </w:t>
      </w:r>
      <w:r w:rsidRPr="005636F0">
        <w:rPr>
          <w:rFonts w:ascii="Open Sans" w:hAnsi="Open Sans" w:cs="Open Sans"/>
          <w:sz w:val="20"/>
        </w:rPr>
        <w:t>(dále</w:t>
      </w:r>
      <w:r w:rsidR="006270D5" w:rsidRPr="005636F0">
        <w:rPr>
          <w:rFonts w:ascii="Open Sans" w:hAnsi="Open Sans" w:cs="Open Sans"/>
          <w:sz w:val="20"/>
        </w:rPr>
        <w:t xml:space="preserve"> jen</w:t>
      </w:r>
      <w:r w:rsidRPr="005636F0">
        <w:rPr>
          <w:rFonts w:ascii="Open Sans" w:hAnsi="Open Sans" w:cs="Open Sans"/>
          <w:sz w:val="20"/>
        </w:rPr>
        <w:t xml:space="preserve"> „</w:t>
      </w:r>
      <w:r w:rsidRPr="005636F0">
        <w:rPr>
          <w:rFonts w:ascii="Open Sans" w:hAnsi="Open Sans" w:cs="Open Sans"/>
          <w:b/>
          <w:bCs/>
          <w:sz w:val="20"/>
        </w:rPr>
        <w:t>Zhotovitel</w:t>
      </w:r>
      <w:r w:rsidR="00991301" w:rsidRPr="005636F0">
        <w:rPr>
          <w:rFonts w:ascii="Open Sans" w:hAnsi="Open Sans" w:cs="Open Sans"/>
          <w:sz w:val="20"/>
        </w:rPr>
        <w:t>“), jejímž předmětem je zhotovení stavby</w:t>
      </w:r>
      <w:r w:rsidR="005D411D" w:rsidRPr="005636F0">
        <w:rPr>
          <w:rFonts w:ascii="Open Sans" w:hAnsi="Open Sans" w:cs="Open Sans"/>
          <w:sz w:val="20"/>
        </w:rPr>
        <w:t xml:space="preserve"> </w:t>
      </w:r>
      <w:r w:rsidR="005D411D" w:rsidRPr="005636F0">
        <w:rPr>
          <w:rFonts w:ascii="Open Sans" w:hAnsi="Open Sans" w:cs="Open Sans"/>
          <w:bCs/>
          <w:sz w:val="20"/>
        </w:rPr>
        <w:t xml:space="preserve">spočívající </w:t>
      </w:r>
      <w:r w:rsidR="005636F0">
        <w:rPr>
          <w:rFonts w:ascii="Open Sans" w:hAnsi="Open Sans" w:cs="Open Sans"/>
          <w:bCs/>
          <w:sz w:val="20"/>
        </w:rPr>
        <w:t xml:space="preserve">v </w:t>
      </w:r>
      <w:r w:rsidR="005636F0" w:rsidRPr="005636F0">
        <w:rPr>
          <w:rFonts w:ascii="Open Sans" w:hAnsi="Open Sans" w:cs="Open Sans"/>
          <w:bCs/>
          <w:sz w:val="20"/>
        </w:rPr>
        <w:t>oprav</w:t>
      </w:r>
      <w:r w:rsidR="005636F0">
        <w:rPr>
          <w:rFonts w:ascii="Open Sans" w:hAnsi="Open Sans" w:cs="Open Sans"/>
          <w:bCs/>
          <w:sz w:val="20"/>
        </w:rPr>
        <w:t>ě</w:t>
      </w:r>
      <w:r w:rsidR="005636F0" w:rsidRPr="005636F0">
        <w:rPr>
          <w:rFonts w:ascii="Open Sans" w:hAnsi="Open Sans" w:cs="Open Sans"/>
          <w:bCs/>
          <w:sz w:val="20"/>
        </w:rPr>
        <w:t xml:space="preserve"> omítek a kamenných prvků na fasádě průčelí městského úřadu čp. 51 v Mělníku </w:t>
      </w:r>
      <w:r w:rsidRPr="005636F0">
        <w:rPr>
          <w:rFonts w:ascii="Open Sans" w:hAnsi="Open Sans" w:cs="Open Sans"/>
          <w:sz w:val="20"/>
        </w:rPr>
        <w:t xml:space="preserve">(dále </w:t>
      </w:r>
      <w:r w:rsidR="006270D5" w:rsidRPr="005636F0">
        <w:rPr>
          <w:rFonts w:ascii="Open Sans" w:hAnsi="Open Sans" w:cs="Open Sans"/>
          <w:sz w:val="20"/>
        </w:rPr>
        <w:t xml:space="preserve">jen </w:t>
      </w:r>
      <w:r w:rsidRPr="005636F0">
        <w:rPr>
          <w:rFonts w:ascii="Open Sans" w:hAnsi="Open Sans" w:cs="Open Sans"/>
          <w:sz w:val="20"/>
        </w:rPr>
        <w:t>„</w:t>
      </w:r>
      <w:r w:rsidRPr="005636F0">
        <w:rPr>
          <w:rFonts w:ascii="Open Sans" w:hAnsi="Open Sans" w:cs="Open Sans"/>
          <w:b/>
          <w:bCs/>
          <w:sz w:val="20"/>
        </w:rPr>
        <w:t>Stavba</w:t>
      </w:r>
      <w:r w:rsidRPr="005636F0">
        <w:rPr>
          <w:rFonts w:ascii="Open Sans" w:hAnsi="Open Sans" w:cs="Open Sans"/>
          <w:sz w:val="20"/>
        </w:rPr>
        <w:t>“</w:t>
      </w:r>
      <w:r w:rsidR="006270D5" w:rsidRPr="005636F0">
        <w:rPr>
          <w:rFonts w:ascii="Open Sans" w:hAnsi="Open Sans" w:cs="Open Sans"/>
          <w:sz w:val="20"/>
        </w:rPr>
        <w:t xml:space="preserve"> nebo „</w:t>
      </w:r>
      <w:r w:rsidR="006270D5" w:rsidRPr="005636F0">
        <w:rPr>
          <w:rFonts w:ascii="Open Sans" w:hAnsi="Open Sans" w:cs="Open Sans"/>
          <w:b/>
          <w:bCs/>
          <w:sz w:val="20"/>
        </w:rPr>
        <w:t>Dílo</w:t>
      </w:r>
      <w:r w:rsidR="006270D5" w:rsidRPr="005636F0">
        <w:rPr>
          <w:rFonts w:ascii="Open Sans" w:hAnsi="Open Sans" w:cs="Open Sans"/>
          <w:sz w:val="20"/>
        </w:rPr>
        <w:t>“</w:t>
      </w:r>
      <w:r w:rsidRPr="005636F0">
        <w:rPr>
          <w:rFonts w:ascii="Open Sans" w:hAnsi="Open Sans" w:cs="Open Sans"/>
          <w:sz w:val="20"/>
        </w:rPr>
        <w:t>)</w:t>
      </w:r>
      <w:r w:rsidR="00620A27" w:rsidRPr="005636F0">
        <w:rPr>
          <w:rFonts w:ascii="Open Sans" w:hAnsi="Open Sans" w:cs="Open Sans"/>
          <w:sz w:val="20"/>
        </w:rPr>
        <w:t xml:space="preserve"> (dále jen „</w:t>
      </w:r>
      <w:r w:rsidR="00620A27" w:rsidRPr="005636F0">
        <w:rPr>
          <w:rFonts w:ascii="Open Sans" w:hAnsi="Open Sans" w:cs="Open Sans"/>
          <w:b/>
          <w:bCs/>
          <w:sz w:val="20"/>
        </w:rPr>
        <w:t>Smlouva o dílo</w:t>
      </w:r>
      <w:r w:rsidR="00620A27" w:rsidRPr="005636F0">
        <w:rPr>
          <w:rFonts w:ascii="Open Sans" w:hAnsi="Open Sans" w:cs="Open Sans"/>
          <w:sz w:val="20"/>
        </w:rPr>
        <w:t>“).</w:t>
      </w:r>
    </w:p>
    <w:p w14:paraId="551AF80A" w14:textId="69C0BD87" w:rsidR="00A06072" w:rsidRPr="00E472AA" w:rsidRDefault="00A06072" w:rsidP="00A06072">
      <w:pPr>
        <w:pStyle w:val="slovanseznam"/>
        <w:numPr>
          <w:ilvl w:val="1"/>
          <w:numId w:val="35"/>
        </w:numPr>
        <w:rPr>
          <w:rFonts w:ascii="Open Sans" w:hAnsi="Open Sans" w:cs="Open Sans"/>
          <w:sz w:val="20"/>
        </w:rPr>
      </w:pPr>
      <w:bookmarkStart w:id="1" w:name="_Ref146640815"/>
      <w:r w:rsidRPr="005636F0">
        <w:rPr>
          <w:rFonts w:ascii="Open Sans" w:hAnsi="Open Sans" w:cs="Open Sans"/>
          <w:sz w:val="20"/>
        </w:rPr>
        <w:t xml:space="preserve">Předmětem </w:t>
      </w:r>
      <w:r w:rsidR="00C84F2B" w:rsidRPr="005636F0">
        <w:rPr>
          <w:rFonts w:ascii="Open Sans" w:hAnsi="Open Sans" w:cs="Open Sans"/>
          <w:sz w:val="20"/>
        </w:rPr>
        <w:t>Smlouvy</w:t>
      </w:r>
      <w:r w:rsidRPr="005636F0">
        <w:rPr>
          <w:rFonts w:ascii="Open Sans" w:hAnsi="Open Sans" w:cs="Open Sans"/>
          <w:sz w:val="20"/>
        </w:rPr>
        <w:t xml:space="preserve"> je zajištění činností technického</w:t>
      </w:r>
      <w:r w:rsidRPr="00E472AA">
        <w:rPr>
          <w:rFonts w:ascii="Open Sans" w:hAnsi="Open Sans" w:cs="Open Sans"/>
          <w:sz w:val="20"/>
        </w:rPr>
        <w:t xml:space="preserve">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lastRenderedPageBreak/>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E472AA"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v souladu s touto Smlouvou a dále dle</w:t>
      </w:r>
      <w:r w:rsidR="00437C40" w:rsidRPr="00E472AA">
        <w:rPr>
          <w:rFonts w:ascii="Open Sans" w:hAnsi="Open Sans" w:cs="Open Sans"/>
          <w:sz w:val="20"/>
        </w:rPr>
        <w:t>:</w:t>
      </w:r>
      <w:bookmarkEnd w:id="2"/>
    </w:p>
    <w:p w14:paraId="2F3C8C1B" w14:textId="401FB55C" w:rsidR="00437C40" w:rsidRPr="005D411D" w:rsidRDefault="00437C40" w:rsidP="005636F0">
      <w:pPr>
        <w:pStyle w:val="slovanseznam"/>
        <w:numPr>
          <w:ilvl w:val="2"/>
          <w:numId w:val="35"/>
        </w:numPr>
        <w:rPr>
          <w:rFonts w:ascii="Open Sans" w:hAnsi="Open Sans" w:cs="Open Sans"/>
          <w:sz w:val="20"/>
        </w:rPr>
      </w:pPr>
      <w:r w:rsidRPr="005D411D">
        <w:rPr>
          <w:rFonts w:ascii="Open Sans" w:hAnsi="Open Sans" w:cs="Open Sans"/>
          <w:sz w:val="20"/>
        </w:rPr>
        <w:t xml:space="preserve">projektové dokumentace pro provádění stavby zpracované společností </w:t>
      </w:r>
      <w:r w:rsidR="005636F0" w:rsidRPr="005636F0">
        <w:rPr>
          <w:rFonts w:ascii="Open Sans" w:hAnsi="Open Sans" w:cs="Open Sans"/>
          <w:sz w:val="20"/>
        </w:rPr>
        <w:t xml:space="preserve">BKN spol. s r.o., IČ: 15028909, Vladislavova 29/I, 566 01 Vysoké Mýto, zodpovědný projektant </w:t>
      </w:r>
      <w:proofErr w:type="spellStart"/>
      <w:r w:rsidR="00D63FC3">
        <w:rPr>
          <w:rFonts w:ascii="Open Sans" w:hAnsi="Open Sans" w:cs="Open Sans"/>
          <w:sz w:val="20"/>
        </w:rPr>
        <w:t>xxx</w:t>
      </w:r>
      <w:proofErr w:type="spellEnd"/>
      <w:r w:rsidR="005636F0" w:rsidRPr="005636F0">
        <w:rPr>
          <w:rFonts w:ascii="Open Sans" w:hAnsi="Open Sans" w:cs="Open Sans"/>
          <w:sz w:val="20"/>
        </w:rPr>
        <w:t xml:space="preserve"> </w:t>
      </w:r>
      <w:r w:rsidR="001D266F" w:rsidRPr="005D411D">
        <w:rPr>
          <w:rFonts w:ascii="Open Sans" w:hAnsi="Open Sans" w:cs="Open Sans"/>
          <w:sz w:val="20"/>
        </w:rPr>
        <w:t>(dále jen „</w:t>
      </w:r>
      <w:r w:rsidR="001D266F" w:rsidRPr="005D411D">
        <w:rPr>
          <w:rFonts w:ascii="Open Sans" w:hAnsi="Open Sans" w:cs="Open Sans"/>
          <w:b/>
          <w:bCs/>
          <w:sz w:val="20"/>
        </w:rPr>
        <w:t>Projektová dokumentace</w:t>
      </w:r>
      <w:r w:rsidR="001D266F" w:rsidRPr="005D411D">
        <w:rPr>
          <w:rFonts w:ascii="Open Sans" w:hAnsi="Open Sans" w:cs="Open Sans"/>
          <w:sz w:val="20"/>
        </w:rPr>
        <w:t>“)</w:t>
      </w:r>
      <w:r w:rsidR="003236F1" w:rsidRPr="005D411D">
        <w:rPr>
          <w:rFonts w:ascii="Open Sans" w:hAnsi="Open Sans" w:cs="Open Sans"/>
          <w:sz w:val="20"/>
        </w:rPr>
        <w:t>;</w:t>
      </w:r>
      <w:r w:rsidR="00620A27" w:rsidRPr="005D411D">
        <w:rPr>
          <w:rFonts w:ascii="Open Sans" w:hAnsi="Open Sans" w:cs="Open Sans"/>
          <w:sz w:val="20"/>
        </w:rPr>
        <w:t xml:space="preserve"> </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474F40EE" w14:textId="059D74C8"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693DDCC6"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14:paraId="5ECD2ADF" w14:textId="3FABB09B"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lastRenderedPageBreak/>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5D411D"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w:t>
      </w:r>
      <w:r w:rsidRPr="005D411D">
        <w:rPr>
          <w:rFonts w:ascii="Open Sans" w:hAnsi="Open Sans" w:cs="Open Sans"/>
          <w:sz w:val="20"/>
        </w:rPr>
        <w:t>kontrolních dnů stavby včetně zpracování zápisů z kontrolních dnů v potřebných intervalech, nejméně však 1x týdně. Zápis bude zpracován v</w:t>
      </w:r>
      <w:r w:rsidR="00BE3AB5" w:rsidRPr="005D411D">
        <w:rPr>
          <w:rFonts w:ascii="Open Sans" w:hAnsi="Open Sans" w:cs="Open Sans"/>
          <w:sz w:val="20"/>
        </w:rPr>
        <w:t> </w:t>
      </w:r>
      <w:r w:rsidRPr="005D411D">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5D411D" w:rsidRDefault="00CC1C25" w:rsidP="00CC1C25">
      <w:pPr>
        <w:pStyle w:val="slovanseznam"/>
        <w:numPr>
          <w:ilvl w:val="2"/>
          <w:numId w:val="35"/>
        </w:numPr>
        <w:rPr>
          <w:rFonts w:ascii="Open Sans" w:hAnsi="Open Sans" w:cs="Open Sans"/>
          <w:sz w:val="20"/>
        </w:rPr>
      </w:pPr>
      <w:r w:rsidRPr="005D411D">
        <w:rPr>
          <w:rFonts w:ascii="Open Sans" w:hAnsi="Open Sans" w:cs="Open Sans"/>
          <w:sz w:val="20"/>
        </w:rPr>
        <w:t xml:space="preserve">Min. </w:t>
      </w:r>
      <w:r w:rsidR="00A41252" w:rsidRPr="005D411D">
        <w:rPr>
          <w:rFonts w:ascii="Open Sans" w:hAnsi="Open Sans" w:cs="Open Sans"/>
          <w:sz w:val="20"/>
        </w:rPr>
        <w:t>2</w:t>
      </w:r>
      <w:r w:rsidRPr="005D411D">
        <w:rPr>
          <w:rFonts w:ascii="Open Sans" w:hAnsi="Open Sans" w:cs="Open Sans"/>
          <w:sz w:val="20"/>
        </w:rPr>
        <w:t xml:space="preserve"> x týdně se bude vyskytovat na staveništi.</w:t>
      </w:r>
    </w:p>
    <w:p w14:paraId="6073E383" w14:textId="1D61C97D" w:rsidR="00573D73" w:rsidRPr="005D411D" w:rsidRDefault="008D393C" w:rsidP="004E0C89">
      <w:pPr>
        <w:pStyle w:val="slovanseznam"/>
        <w:numPr>
          <w:ilvl w:val="2"/>
          <w:numId w:val="35"/>
        </w:numPr>
        <w:rPr>
          <w:rFonts w:ascii="Open Sans" w:hAnsi="Open Sans" w:cs="Open Sans"/>
          <w:sz w:val="20"/>
        </w:rPr>
      </w:pPr>
      <w:r w:rsidRPr="005D411D">
        <w:rPr>
          <w:rFonts w:ascii="Open Sans" w:hAnsi="Open Sans" w:cs="Open Sans"/>
          <w:sz w:val="20"/>
        </w:rPr>
        <w:t xml:space="preserve">Zajištění podrobné fotodokumentace </w:t>
      </w:r>
      <w:r w:rsidR="00F17673" w:rsidRPr="005D411D">
        <w:rPr>
          <w:rFonts w:ascii="Open Sans" w:hAnsi="Open Sans" w:cs="Open Sans"/>
          <w:sz w:val="20"/>
        </w:rPr>
        <w:t>S</w:t>
      </w:r>
      <w:r w:rsidRPr="005D411D">
        <w:rPr>
          <w:rFonts w:ascii="Open Sans" w:hAnsi="Open Sans" w:cs="Open Sans"/>
          <w:sz w:val="20"/>
        </w:rPr>
        <w:t>tavby včetně popisu na nosiči CD (v</w:t>
      </w:r>
      <w:r w:rsidR="00BE3AB5" w:rsidRPr="005D411D">
        <w:rPr>
          <w:rFonts w:ascii="Open Sans" w:hAnsi="Open Sans" w:cs="Open Sans"/>
          <w:sz w:val="20"/>
        </w:rPr>
        <w:t> 1</w:t>
      </w:r>
      <w:r w:rsidR="00765C54" w:rsidRPr="005D411D">
        <w:rPr>
          <w:rFonts w:ascii="Open Sans" w:hAnsi="Open Sans" w:cs="Open Sans"/>
          <w:sz w:val="20"/>
        </w:rPr>
        <w:t> </w:t>
      </w:r>
      <w:r w:rsidRPr="005D411D">
        <w:rPr>
          <w:rFonts w:ascii="Open Sans" w:hAnsi="Open Sans" w:cs="Open Sans"/>
          <w:sz w:val="20"/>
        </w:rPr>
        <w:t>vyhotovení).</w:t>
      </w:r>
      <w:r w:rsidR="004E0C89" w:rsidRPr="005D411D">
        <w:rPr>
          <w:rFonts w:ascii="Open Sans" w:hAnsi="Open Sans" w:cs="Open Sans"/>
          <w:sz w:val="20"/>
        </w:rPr>
        <w:t xml:space="preserve"> Konzultační činnost ve vztahu k zainteresovaným subjektům na zhotovení </w:t>
      </w:r>
      <w:r w:rsidR="00B811A8" w:rsidRPr="005D411D">
        <w:rPr>
          <w:rFonts w:ascii="Open Sans" w:hAnsi="Open Sans" w:cs="Open Sans"/>
          <w:sz w:val="20"/>
        </w:rPr>
        <w:t>D</w:t>
      </w:r>
      <w:r w:rsidR="004E0C89" w:rsidRPr="005D411D">
        <w:rPr>
          <w:rFonts w:ascii="Open Sans" w:hAnsi="Open Sans" w:cs="Open Sans"/>
          <w:sz w:val="20"/>
        </w:rPr>
        <w:t>íla včetně členů projektového týmu a zaměstnancům poskytovatele dotace</w:t>
      </w:r>
      <w:r w:rsidR="00573D73" w:rsidRPr="005D411D">
        <w:rPr>
          <w:rFonts w:ascii="Open Sans" w:hAnsi="Open Sans" w:cs="Open Sans"/>
          <w:sz w:val="20"/>
        </w:rPr>
        <w:t>.</w:t>
      </w:r>
      <w:r w:rsidR="004E0C89" w:rsidRPr="005D411D">
        <w:rPr>
          <w:rFonts w:ascii="Open Sans" w:hAnsi="Open Sans" w:cs="Open Sans"/>
          <w:sz w:val="20"/>
        </w:rPr>
        <w:t xml:space="preserve"> </w:t>
      </w:r>
    </w:p>
    <w:p w14:paraId="7F54B234" w14:textId="7E6862A6" w:rsidR="008D393C" w:rsidRPr="00E472AA" w:rsidRDefault="00B811A8" w:rsidP="004E0C89">
      <w:pPr>
        <w:pStyle w:val="slovanseznam"/>
        <w:numPr>
          <w:ilvl w:val="2"/>
          <w:numId w:val="35"/>
        </w:numPr>
        <w:rPr>
          <w:rFonts w:ascii="Open Sans" w:hAnsi="Open Sans" w:cs="Open Sans"/>
          <w:sz w:val="20"/>
        </w:rPr>
      </w:pPr>
      <w:r w:rsidRPr="005D411D">
        <w:rPr>
          <w:rFonts w:ascii="Open Sans" w:hAnsi="Open Sans" w:cs="Open Sans"/>
          <w:sz w:val="20"/>
        </w:rPr>
        <w:t>Ú</w:t>
      </w:r>
      <w:r w:rsidR="004E0C89" w:rsidRPr="005D411D">
        <w:rPr>
          <w:rFonts w:ascii="Open Sans" w:hAnsi="Open Sans" w:cs="Open Sans"/>
          <w:sz w:val="20"/>
        </w:rPr>
        <w:t xml:space="preserve">čast na všech kontrolách poskytovatele dotace na místě </w:t>
      </w:r>
      <w:r w:rsidR="007F0F88" w:rsidRPr="005D411D">
        <w:rPr>
          <w:rFonts w:ascii="Open Sans" w:hAnsi="Open Sans" w:cs="Open Sans"/>
          <w:sz w:val="20"/>
        </w:rPr>
        <w:t>S</w:t>
      </w:r>
      <w:r w:rsidR="004E0C89" w:rsidRPr="005D411D">
        <w:rPr>
          <w:rFonts w:ascii="Open Sans" w:hAnsi="Open Sans" w:cs="Open Sans"/>
          <w:sz w:val="20"/>
        </w:rPr>
        <w:t>tavby,</w:t>
      </w:r>
      <w:r w:rsidR="004E0C89" w:rsidRPr="00E472AA">
        <w:rPr>
          <w:rFonts w:ascii="Open Sans" w:hAnsi="Open Sans" w:cs="Open Sans"/>
          <w:sz w:val="20"/>
        </w:rPr>
        <w:t xml:space="preserve">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792ABE09" w:rsidR="00B811A8" w:rsidRPr="00E472AA"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5EF0C936"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5D411D" w:rsidRPr="005D411D">
        <w:rPr>
          <w:rFonts w:ascii="Open Sans" w:hAnsi="Open Sans" w:cs="Open Sans"/>
          <w:b/>
          <w:sz w:val="20"/>
        </w:rPr>
        <w:t>v </w:t>
      </w:r>
      <w:r w:rsidR="005636F0">
        <w:rPr>
          <w:rFonts w:ascii="Open Sans" w:hAnsi="Open Sans" w:cs="Open Sans"/>
          <w:b/>
          <w:sz w:val="20"/>
        </w:rPr>
        <w:t>dubnu</w:t>
      </w:r>
      <w:r w:rsidR="005D411D" w:rsidRPr="005D411D">
        <w:rPr>
          <w:rFonts w:ascii="Open Sans" w:hAnsi="Open Sans" w:cs="Open Sans"/>
          <w:b/>
          <w:sz w:val="20"/>
        </w:rPr>
        <w:t xml:space="preserve"> 2025</w:t>
      </w:r>
      <w:r w:rsidR="005D411D">
        <w:rPr>
          <w:rFonts w:ascii="Open Sans" w:hAnsi="Open Sans" w:cs="Open Sans"/>
          <w:sz w:val="20"/>
        </w:rPr>
        <w:t>.</w:t>
      </w:r>
    </w:p>
    <w:p w14:paraId="44B10607" w14:textId="6B2789B2"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5D411D" w:rsidRPr="005D411D">
        <w:rPr>
          <w:rFonts w:ascii="Open Sans" w:hAnsi="Open Sans" w:cs="Open Sans"/>
          <w:b/>
          <w:sz w:val="20"/>
        </w:rPr>
        <w:t xml:space="preserve">do konce </w:t>
      </w:r>
      <w:r w:rsidR="005636F0">
        <w:rPr>
          <w:rFonts w:ascii="Open Sans" w:hAnsi="Open Sans" w:cs="Open Sans"/>
          <w:b/>
          <w:sz w:val="20"/>
        </w:rPr>
        <w:t>září</w:t>
      </w:r>
      <w:r w:rsidR="005D411D" w:rsidRPr="005D411D">
        <w:rPr>
          <w:rFonts w:ascii="Open Sans" w:hAnsi="Open Sans" w:cs="Open Sans"/>
          <w:b/>
          <w:sz w:val="20"/>
        </w:rPr>
        <w:t xml:space="preserve"> 2025</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činí </w:t>
      </w:r>
      <w:r w:rsidR="005636F0">
        <w:rPr>
          <w:rFonts w:ascii="Open Sans" w:hAnsi="Open Sans" w:cs="Open Sans"/>
          <w:b/>
          <w:sz w:val="20"/>
        </w:rPr>
        <w:t>6</w:t>
      </w:r>
      <w:r w:rsidR="005D411D" w:rsidRPr="005D411D">
        <w:rPr>
          <w:rFonts w:ascii="Open Sans" w:hAnsi="Open Sans" w:cs="Open Sans"/>
          <w:b/>
          <w:sz w:val="20"/>
        </w:rPr>
        <w:t xml:space="preserve"> </w:t>
      </w:r>
      <w:r w:rsidR="00A41252" w:rsidRPr="005D411D">
        <w:rPr>
          <w:rFonts w:ascii="Open Sans" w:hAnsi="Open Sans" w:cs="Open Sans"/>
          <w:b/>
          <w:sz w:val="20"/>
        </w:rPr>
        <w:t>měsíců</w:t>
      </w:r>
      <w:r w:rsidR="00A41252">
        <w:rPr>
          <w:rFonts w:ascii="Open Sans" w:hAnsi="Open Sans" w:cs="Open Sans"/>
          <w:sz w:val="20"/>
        </w:rPr>
        <w:t>.</w:t>
      </w:r>
    </w:p>
    <w:p w14:paraId="61FFB925" w14:textId="6EEC2439"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w:t>
      </w:r>
      <w:r w:rsidRPr="00E472AA">
        <w:rPr>
          <w:rFonts w:ascii="Open Sans" w:hAnsi="Open Sans" w:cs="Open Sans"/>
          <w:sz w:val="20"/>
        </w:rPr>
        <w:lastRenderedPageBreak/>
        <w:t xml:space="preserve">je Příkazník povinen vykonávat činnosti dle této Smlouvy pouze v případě, vysloví-li s tím souhlas. Dojde-li k výrazné změně nebo prodloužení doby uvedené výše, tedy o více než </w:t>
      </w:r>
      <w:r w:rsidR="005D411D">
        <w:rPr>
          <w:rFonts w:ascii="Open Sans" w:hAnsi="Open Sans" w:cs="Open Sans"/>
          <w:sz w:val="20"/>
        </w:rPr>
        <w:t>1 týden</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2FE5127C"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9F3A7E">
        <w:rPr>
          <w:rFonts w:ascii="Open Sans" w:hAnsi="Open Sans" w:cs="Open Sans"/>
          <w:sz w:val="20"/>
        </w:rPr>
        <w:fldChar w:fldCharType="begin"/>
      </w:r>
      <w:r w:rsidR="009F3A7E">
        <w:rPr>
          <w:rFonts w:ascii="Open Sans" w:hAnsi="Open Sans" w:cs="Open Sans"/>
          <w:sz w:val="20"/>
        </w:rPr>
        <w:instrText xml:space="preserve"> REF _Ref146640815 \r \h </w:instrText>
      </w:r>
      <w:r w:rsidR="009F3A7E">
        <w:rPr>
          <w:rFonts w:ascii="Open Sans" w:hAnsi="Open Sans" w:cs="Open Sans"/>
          <w:sz w:val="20"/>
        </w:rPr>
      </w:r>
      <w:r w:rsidR="009F3A7E">
        <w:rPr>
          <w:rFonts w:ascii="Open Sans" w:hAnsi="Open Sans" w:cs="Open Sans"/>
          <w:sz w:val="20"/>
        </w:rPr>
        <w:fldChar w:fldCharType="separate"/>
      </w:r>
      <w:r w:rsidR="00C51A3A">
        <w:rPr>
          <w:rFonts w:ascii="Open Sans" w:hAnsi="Open Sans" w:cs="Open Sans"/>
          <w:sz w:val="20"/>
        </w:rPr>
        <w:t>3.2</w:t>
      </w:r>
      <w:r w:rsidR="009F3A7E">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9F3A7E">
        <w:rPr>
          <w:rFonts w:ascii="Open Sans" w:hAnsi="Open Sans" w:cs="Open Sans"/>
          <w:sz w:val="20"/>
        </w:rPr>
        <w:fldChar w:fldCharType="begin"/>
      </w:r>
      <w:r w:rsidR="009F3A7E">
        <w:rPr>
          <w:rFonts w:ascii="Open Sans" w:hAnsi="Open Sans" w:cs="Open Sans"/>
          <w:sz w:val="20"/>
        </w:rPr>
        <w:instrText xml:space="preserve"> REF _Ref146640835 \r \h </w:instrText>
      </w:r>
      <w:r w:rsidR="009F3A7E">
        <w:rPr>
          <w:rFonts w:ascii="Open Sans" w:hAnsi="Open Sans" w:cs="Open Sans"/>
          <w:sz w:val="20"/>
        </w:rPr>
      </w:r>
      <w:r w:rsidR="009F3A7E">
        <w:rPr>
          <w:rFonts w:ascii="Open Sans" w:hAnsi="Open Sans" w:cs="Open Sans"/>
          <w:sz w:val="20"/>
        </w:rPr>
        <w:fldChar w:fldCharType="separate"/>
      </w:r>
      <w:r w:rsidR="00C51A3A">
        <w:rPr>
          <w:rFonts w:ascii="Open Sans" w:hAnsi="Open Sans" w:cs="Open Sans"/>
          <w:sz w:val="20"/>
        </w:rPr>
        <w:t>3.5</w:t>
      </w:r>
      <w:r w:rsidR="009F3A7E">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7B7866">
        <w:rPr>
          <w:rFonts w:ascii="Open Sans" w:hAnsi="Open Sans" w:cs="Open Sans"/>
          <w:sz w:val="20"/>
          <w:lang w:eastAsia="en-US"/>
        </w:rPr>
        <w:t>28</w:t>
      </w:r>
      <w:r w:rsidR="00316E96">
        <w:rPr>
          <w:rFonts w:ascii="Open Sans" w:hAnsi="Open Sans" w:cs="Open Sans"/>
          <w:sz w:val="20"/>
          <w:lang w:eastAsia="en-US"/>
        </w:rPr>
        <w:t xml:space="preserve"> </w:t>
      </w:r>
      <w:r w:rsidR="007B7866">
        <w:rPr>
          <w:rFonts w:ascii="Open Sans" w:hAnsi="Open Sans" w:cs="Open Sans"/>
          <w:sz w:val="20"/>
          <w:lang w:eastAsia="en-US"/>
        </w:rPr>
        <w:t>000</w:t>
      </w:r>
      <w:r w:rsidRPr="00E472AA">
        <w:rPr>
          <w:rFonts w:ascii="Open Sans" w:hAnsi="Open Sans" w:cs="Open Sans"/>
          <w:sz w:val="20"/>
        </w:rPr>
        <w:t xml:space="preserve"> Kč</w:t>
      </w:r>
      <w:r w:rsidR="00AB79F2" w:rsidRPr="00E472AA">
        <w:rPr>
          <w:rFonts w:ascii="Open Sans" w:hAnsi="Open Sans" w:cs="Open Sans"/>
          <w:sz w:val="20"/>
        </w:rPr>
        <w:t xml:space="preserve"> bez DPH</w:t>
      </w:r>
      <w:r w:rsidR="00A41252">
        <w:rPr>
          <w:rFonts w:ascii="Open Sans" w:hAnsi="Open Sans" w:cs="Open Sans"/>
          <w:sz w:val="20"/>
        </w:rPr>
        <w:t xml:space="preserve"> za jeden měsíc plnění, </w:t>
      </w:r>
      <w:r w:rsidR="00316E96">
        <w:rPr>
          <w:rFonts w:ascii="Open Sans" w:hAnsi="Open Sans" w:cs="Open Sans"/>
          <w:sz w:val="20"/>
        </w:rPr>
        <w:br/>
      </w:r>
      <w:r w:rsidR="005636F0">
        <w:rPr>
          <w:rFonts w:ascii="Open Sans" w:hAnsi="Open Sans" w:cs="Open Sans"/>
          <w:b/>
          <w:sz w:val="20"/>
          <w:lang w:eastAsia="en-US"/>
        </w:rPr>
        <w:t>168</w:t>
      </w:r>
      <w:r w:rsidR="00316E96" w:rsidRPr="00316E96">
        <w:rPr>
          <w:rFonts w:ascii="Open Sans" w:hAnsi="Open Sans" w:cs="Open Sans"/>
          <w:b/>
          <w:sz w:val="20"/>
          <w:lang w:eastAsia="en-US"/>
        </w:rPr>
        <w:t xml:space="preserve"> </w:t>
      </w:r>
      <w:r w:rsidR="007B7866" w:rsidRPr="00316E96">
        <w:rPr>
          <w:rFonts w:ascii="Open Sans" w:hAnsi="Open Sans" w:cs="Open Sans"/>
          <w:b/>
          <w:sz w:val="20"/>
          <w:lang w:eastAsia="en-US"/>
        </w:rPr>
        <w:t>000</w:t>
      </w:r>
      <w:r w:rsidR="00A41252" w:rsidRPr="00316E96">
        <w:rPr>
          <w:rFonts w:ascii="Open Sans" w:hAnsi="Open Sans" w:cs="Open Sans"/>
          <w:b/>
          <w:sz w:val="20"/>
          <w:lang w:eastAsia="en-US"/>
        </w:rPr>
        <w:t xml:space="preserve"> Kč bez DPH</w:t>
      </w:r>
      <w:r w:rsidR="00A41252">
        <w:rPr>
          <w:rFonts w:ascii="Open Sans" w:hAnsi="Open Sans" w:cs="Open Sans"/>
          <w:sz w:val="20"/>
          <w:lang w:eastAsia="en-US"/>
        </w:rPr>
        <w:t xml:space="preserve"> za celou dobu </w:t>
      </w:r>
      <w:r w:rsidR="00A41252">
        <w:rPr>
          <w:rFonts w:ascii="Open Sans" w:hAnsi="Open Sans" w:cs="Open Sans"/>
          <w:sz w:val="20"/>
        </w:rPr>
        <w:t xml:space="preserve">plnění, </w:t>
      </w:r>
      <w:r w:rsidR="005636F0">
        <w:rPr>
          <w:rFonts w:ascii="Open Sans" w:hAnsi="Open Sans" w:cs="Open Sans"/>
          <w:b/>
          <w:sz w:val="20"/>
        </w:rPr>
        <w:t>203 280</w:t>
      </w:r>
      <w:r w:rsidR="00A41252" w:rsidRPr="00316E96">
        <w:rPr>
          <w:rFonts w:ascii="Open Sans" w:hAnsi="Open Sans" w:cs="Open Sans"/>
          <w:b/>
          <w:sz w:val="20"/>
        </w:rPr>
        <w:t xml:space="preserve"> Kč s DPH</w:t>
      </w:r>
      <w:r w:rsidR="00A41252">
        <w:rPr>
          <w:rFonts w:ascii="Open Sans" w:hAnsi="Open Sans" w:cs="Open Sans"/>
          <w:sz w:val="20"/>
          <w:lang w:eastAsia="en-US"/>
        </w:rPr>
        <w:t xml:space="preserve"> za celou dobu plnění</w:t>
      </w:r>
      <w:r w:rsidRPr="00E472AA">
        <w:rPr>
          <w:rFonts w:ascii="Open Sans" w:hAnsi="Open Sans" w:cs="Open Sans"/>
          <w:sz w:val="20"/>
        </w:rPr>
        <w:t>.</w:t>
      </w:r>
      <w:bookmarkEnd w:id="6"/>
    </w:p>
    <w:p w14:paraId="7752A189" w14:textId="015F49B2"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5D411D">
        <w:rPr>
          <w:rFonts w:ascii="Open Sans" w:hAnsi="Open Sans" w:cs="Open Sans"/>
        </w:rPr>
        <w:t xml:space="preserve">dobu </w:t>
      </w:r>
      <w:r w:rsidR="005D411D" w:rsidRPr="005D411D">
        <w:rPr>
          <w:rFonts w:ascii="Open Sans" w:hAnsi="Open Sans" w:cs="Open Sans"/>
        </w:rPr>
        <w:t>11měsíců</w:t>
      </w:r>
      <w:r w:rsidRPr="005D411D">
        <w:rPr>
          <w:rFonts w:ascii="Open Sans" w:hAnsi="Open Sans" w:cs="Open Sans"/>
        </w:rPr>
        <w:t>, v</w:t>
      </w:r>
      <w:r w:rsidRPr="00E472AA">
        <w:rPr>
          <w:rFonts w:ascii="Open Sans" w:hAnsi="Open Sans" w:cs="Open Sans"/>
        </w:rPr>
        <w:t xml:space="preserve"> n</w:t>
      </w:r>
      <w:r w:rsidR="005D411D">
        <w:rPr>
          <w:rFonts w:ascii="Open Sans" w:hAnsi="Open Sans" w:cs="Open Sans"/>
        </w:rPr>
        <w:t>ich</w:t>
      </w:r>
      <w:r w:rsidRPr="00E472AA">
        <w:rPr>
          <w:rFonts w:ascii="Open Sans" w:hAnsi="Open Sans" w:cs="Open Sans"/>
        </w:rPr>
        <w:t xml:space="preserve">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w:t>
      </w:r>
      <w:r w:rsidRPr="005D411D">
        <w:rPr>
          <w:rFonts w:ascii="Open Sans" w:hAnsi="Open Sans" w:cs="Open Sans"/>
          <w:sz w:val="20"/>
        </w:rPr>
        <w:t xml:space="preserve">dohodnuta na </w:t>
      </w:r>
      <w:r w:rsidR="00A41252" w:rsidRPr="005D411D">
        <w:rPr>
          <w:rFonts w:ascii="Open Sans" w:hAnsi="Open Sans" w:cs="Open Sans"/>
          <w:sz w:val="20"/>
        </w:rPr>
        <w:t>14</w:t>
      </w:r>
      <w:r w:rsidR="00B013EC" w:rsidRPr="005D411D">
        <w:rPr>
          <w:rFonts w:ascii="Open Sans" w:hAnsi="Open Sans" w:cs="Open Sans"/>
          <w:sz w:val="20"/>
        </w:rPr>
        <w:t xml:space="preserve"> </w:t>
      </w:r>
      <w:r w:rsidRPr="005D411D">
        <w:rPr>
          <w:rFonts w:ascii="Open Sans" w:hAnsi="Open Sans" w:cs="Open Sans"/>
          <w:sz w:val="20"/>
        </w:rPr>
        <w:t xml:space="preserve">dní od </w:t>
      </w:r>
      <w:r w:rsidR="00A8722E" w:rsidRPr="005D411D">
        <w:rPr>
          <w:rFonts w:ascii="Open Sans" w:hAnsi="Open Sans" w:cs="Open Sans"/>
          <w:sz w:val="20"/>
        </w:rPr>
        <w:t>doručení Příkazci</w:t>
      </w:r>
      <w:r w:rsidRPr="005D411D">
        <w:rPr>
          <w:rFonts w:ascii="Open Sans" w:hAnsi="Open Sans" w:cs="Open Sans"/>
          <w:sz w:val="20"/>
        </w:rPr>
        <w:t xml:space="preserve">. </w:t>
      </w:r>
      <w:r w:rsidR="00B459BF" w:rsidRPr="005D411D">
        <w:rPr>
          <w:rFonts w:ascii="Open Sans" w:hAnsi="Open Sans" w:cs="Open Sans"/>
          <w:sz w:val="20"/>
        </w:rPr>
        <w:t xml:space="preserve">Termínem úhrady se rozumí den odepsání peněžních prostředků z účtu Příkazce. Stejný termín splatnosti bude platit pro </w:t>
      </w:r>
      <w:r w:rsidR="0033267D" w:rsidRPr="005D411D">
        <w:rPr>
          <w:rFonts w:ascii="Open Sans" w:hAnsi="Open Sans" w:cs="Open Sans"/>
          <w:sz w:val="20"/>
        </w:rPr>
        <w:t>S</w:t>
      </w:r>
      <w:r w:rsidR="00B459BF" w:rsidRPr="005D411D">
        <w:rPr>
          <w:rFonts w:ascii="Open Sans" w:hAnsi="Open Sans" w:cs="Open Sans"/>
          <w:sz w:val="20"/>
        </w:rPr>
        <w:t>mluvní strany i</w:t>
      </w:r>
      <w:r w:rsidR="00B459BF" w:rsidRPr="00E472AA">
        <w:rPr>
          <w:rFonts w:ascii="Open Sans" w:hAnsi="Open Sans" w:cs="Open Sans"/>
          <w:sz w:val="20"/>
        </w:rPr>
        <w:t xml:space="preserve">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5D411D"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lastRenderedPageBreak/>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w:t>
      </w:r>
      <w:r w:rsidRPr="005D411D">
        <w:rPr>
          <w:rFonts w:ascii="Open Sans" w:hAnsi="Open Sans" w:cs="Open Sans"/>
          <w:sz w:val="20"/>
        </w:rPr>
        <w:t xml:space="preserve">), upozorní na to Příkazce a splní takový pokyn jen tehdy, jestliže na něm Příkazce trvá. </w:t>
      </w:r>
    </w:p>
    <w:p w14:paraId="3209E6D8" w14:textId="77777777" w:rsidR="00474376" w:rsidRPr="005D411D" w:rsidRDefault="00474376" w:rsidP="00474376">
      <w:pPr>
        <w:pStyle w:val="slovanseznam"/>
        <w:numPr>
          <w:ilvl w:val="1"/>
          <w:numId w:val="35"/>
        </w:numPr>
        <w:rPr>
          <w:rFonts w:ascii="Open Sans" w:hAnsi="Open Sans" w:cs="Open Sans"/>
          <w:sz w:val="20"/>
        </w:rPr>
      </w:pPr>
      <w:r w:rsidRPr="005D411D">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5D411D">
        <w:rPr>
          <w:rFonts w:ascii="Open Sans" w:hAnsi="Open Sans" w:cs="Open Sans"/>
          <w:sz w:val="20"/>
        </w:rPr>
        <w:t xml:space="preserve">Příkazník nemůže přijmout za Příkazce žádné rozhodnutí ani vydat </w:t>
      </w:r>
      <w:r w:rsidR="00E12BB6" w:rsidRPr="005D411D">
        <w:rPr>
          <w:rFonts w:ascii="Open Sans" w:hAnsi="Open Sans" w:cs="Open Sans"/>
          <w:sz w:val="20"/>
        </w:rPr>
        <w:t>třetí osobě</w:t>
      </w:r>
      <w:r w:rsidRPr="005D411D">
        <w:rPr>
          <w:rFonts w:ascii="Open Sans" w:hAnsi="Open Sans" w:cs="Open Sans"/>
          <w:sz w:val="20"/>
        </w:rPr>
        <w:t xml:space="preserve"> žádný pokyn</w:t>
      </w:r>
      <w:r w:rsidRPr="00E472AA">
        <w:rPr>
          <w:rFonts w:ascii="Open Sans" w:hAnsi="Open Sans" w:cs="Open Sans"/>
          <w:sz w:val="20"/>
        </w:rPr>
        <w:t xml:space="preserve">, které by měly za následek zhoršení </w:t>
      </w:r>
      <w:proofErr w:type="spellStart"/>
      <w:r w:rsidR="00D846D2" w:rsidRPr="00E472AA">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2682BAA2"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Příkazník je povinen sjednat s účinností od počátku plnění dle této Smlouvy pojištění proti všem škodám, které by mohl způsobit svojí činností na Stavbě, a to až do výše</w:t>
      </w:r>
      <w:r w:rsidR="008D6F97">
        <w:rPr>
          <w:rFonts w:ascii="Open Sans" w:hAnsi="Open Sans" w:cs="Open Sans"/>
          <w:sz w:val="20"/>
        </w:rPr>
        <w:t xml:space="preserve"> 2 000 000</w:t>
      </w:r>
      <w:r w:rsidRPr="00E472AA">
        <w:rPr>
          <w:rFonts w:ascii="Open Sans" w:hAnsi="Open Sans" w:cs="Open Sans"/>
          <w:sz w:val="20"/>
        </w:rPr>
        <w:t xml:space="preserve"> Kč na jednu pojistnou událost. Toto pojištění je Příkazník povinen udržovat v platnosti po celou </w:t>
      </w:r>
      <w:r w:rsidRPr="00E472AA">
        <w:rPr>
          <w:rFonts w:ascii="Open Sans" w:hAnsi="Open Sans" w:cs="Open Sans"/>
          <w:sz w:val="20"/>
        </w:rPr>
        <w:lastRenderedPageBreak/>
        <w:t>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E472AA" w:rsidRDefault="00E35004"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Kontakty</w:t>
      </w:r>
    </w:p>
    <w:p w14:paraId="2337A20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si veškeré pokyny a informace předávají písemnou formou a poskytují si je především prostřednictvím kontaktních osob. </w:t>
      </w:r>
    </w:p>
    <w:p w14:paraId="284F4414" w14:textId="15094FB1"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Kontaktními osobami Příkazce, jež jsou současně osobami Příkazcem určenými pro poskytování součinnosti v běžném rozsahu, jsou</w:t>
      </w:r>
      <w:r w:rsidR="005D411D">
        <w:rPr>
          <w:rFonts w:ascii="Open Sans" w:hAnsi="Open Sans" w:cs="Open Sans"/>
          <w:sz w:val="20"/>
        </w:rPr>
        <w:t xml:space="preserve"> uvedeny v záhlaví smlouvy. </w:t>
      </w:r>
      <w:r w:rsidRPr="00E472AA">
        <w:rPr>
          <w:rFonts w:ascii="Open Sans" w:hAnsi="Open Sans" w:cs="Open Sans"/>
          <w:sz w:val="20"/>
        </w:rPr>
        <w:t xml:space="preserve"> </w:t>
      </w:r>
    </w:p>
    <w:p w14:paraId="366171F2"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příkazníka jsou: </w:t>
      </w:r>
    </w:p>
    <w:p w14:paraId="535D3192" w14:textId="0D6A52EC"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C11FE9" w:rsidRPr="00E472AA">
        <w:rPr>
          <w:rFonts w:ascii="Open Sans" w:hAnsi="Open Sans" w:cs="Open Sans"/>
          <w:sz w:val="20"/>
        </w:rPr>
        <w:tab/>
      </w:r>
      <w:r w:rsidR="007B7866">
        <w:rPr>
          <w:rFonts w:ascii="Open Sans" w:hAnsi="Open Sans" w:cs="Open Sans"/>
          <w:sz w:val="20"/>
        </w:rPr>
        <w:t>Ing. Jakub Dušátko</w:t>
      </w:r>
    </w:p>
    <w:p w14:paraId="39439404" w14:textId="39CF05BC"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Telefon:</w:t>
      </w:r>
      <w:r w:rsidR="00867F40" w:rsidRPr="00E472AA">
        <w:rPr>
          <w:rFonts w:ascii="Open Sans" w:hAnsi="Open Sans" w:cs="Open Sans"/>
          <w:sz w:val="20"/>
        </w:rPr>
        <w:t xml:space="preserve"> </w:t>
      </w:r>
      <w:r w:rsidR="00C11FE9" w:rsidRPr="00E472AA">
        <w:rPr>
          <w:rFonts w:ascii="Open Sans" w:hAnsi="Open Sans" w:cs="Open Sans"/>
          <w:sz w:val="20"/>
        </w:rPr>
        <w:tab/>
      </w:r>
      <w:proofErr w:type="spellStart"/>
      <w:r w:rsidR="00D63FC3">
        <w:rPr>
          <w:rFonts w:ascii="Open Sans" w:hAnsi="Open Sans" w:cs="Open Sans"/>
          <w:sz w:val="20"/>
        </w:rPr>
        <w:t>xxx</w:t>
      </w:r>
      <w:proofErr w:type="spellEnd"/>
    </w:p>
    <w:p w14:paraId="7228702B" w14:textId="7C7A3452" w:rsidR="00FB01F5"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E-mail:</w:t>
      </w:r>
      <w:r w:rsidRPr="00E472AA">
        <w:rPr>
          <w:rFonts w:ascii="Open Sans" w:hAnsi="Open Sans" w:cs="Open Sans"/>
          <w:sz w:val="20"/>
        </w:rPr>
        <w:tab/>
      </w:r>
      <w:r w:rsidR="00C11FE9" w:rsidRPr="00E472AA">
        <w:rPr>
          <w:rFonts w:ascii="Open Sans" w:hAnsi="Open Sans" w:cs="Open Sans"/>
          <w:sz w:val="20"/>
        </w:rPr>
        <w:tab/>
      </w:r>
      <w:r w:rsidR="00D63FC3">
        <w:rPr>
          <w:rFonts w:ascii="Open Sans" w:hAnsi="Open Sans" w:cs="Open Sans"/>
          <w:sz w:val="20"/>
        </w:rPr>
        <w:t>xxx</w:t>
      </w:r>
      <w:bookmarkStart w:id="7" w:name="_GoBack"/>
      <w:bookmarkEnd w:id="7"/>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5D411D" w:rsidRDefault="002B7CB0"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Doba trvání </w:t>
      </w:r>
      <w:r w:rsidRPr="005D411D">
        <w:rPr>
          <w:rFonts w:ascii="Open Sans" w:hAnsi="Open Sans" w:cs="Open Sans"/>
          <w:sz w:val="20"/>
        </w:rPr>
        <w:t>smlouvy</w:t>
      </w:r>
    </w:p>
    <w:p w14:paraId="4A2D2011" w14:textId="2190DE5F" w:rsidR="00D162C7" w:rsidRPr="005D411D" w:rsidRDefault="007B2534" w:rsidP="00D162C7">
      <w:pPr>
        <w:pStyle w:val="slovanseznam"/>
        <w:numPr>
          <w:ilvl w:val="1"/>
          <w:numId w:val="35"/>
        </w:numPr>
        <w:rPr>
          <w:rFonts w:ascii="Open Sans" w:hAnsi="Open Sans" w:cs="Open Sans"/>
          <w:sz w:val="20"/>
        </w:rPr>
      </w:pPr>
      <w:r w:rsidRPr="005D411D">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5D411D">
        <w:rPr>
          <w:rFonts w:ascii="Open Sans" w:hAnsi="Open Sans" w:cs="Open Sans"/>
          <w:sz w:val="20"/>
          <w:lang w:eastAsia="x-none"/>
        </w:rPr>
        <w:t xml:space="preserve">Příkazce je oprávněn </w:t>
      </w:r>
      <w:r w:rsidR="00D065D9" w:rsidRPr="005D411D">
        <w:rPr>
          <w:rFonts w:ascii="Open Sans" w:hAnsi="Open Sans" w:cs="Open Sans"/>
          <w:sz w:val="20"/>
          <w:lang w:eastAsia="x-none"/>
        </w:rPr>
        <w:t>tuto</w:t>
      </w:r>
      <w:r w:rsidR="00D065D9" w:rsidRPr="00E472AA">
        <w:rPr>
          <w:rFonts w:ascii="Open Sans" w:hAnsi="Open Sans" w:cs="Open Sans"/>
          <w:sz w:val="20"/>
          <w:lang w:eastAsia="x-none"/>
        </w:rPr>
        <w:t xml:space="preserve">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1836C32" w14:textId="77777777" w:rsidR="00A41252" w:rsidRDefault="00A41252" w:rsidP="00A41252">
      <w:pPr>
        <w:pStyle w:val="Datum"/>
        <w:spacing w:before="0" w:after="0"/>
        <w:ind w:left="0"/>
        <w:rPr>
          <w:rFonts w:ascii="Open Sans" w:hAnsi="Open Sans" w:cs="Open Sans"/>
          <w:sz w:val="20"/>
        </w:rPr>
      </w:pPr>
    </w:p>
    <w:p w14:paraId="48CA3164" w14:textId="77777777" w:rsidR="005D411D" w:rsidRDefault="005D411D" w:rsidP="00A41252">
      <w:pPr>
        <w:pStyle w:val="Datum"/>
        <w:spacing w:before="0" w:after="0"/>
        <w:ind w:left="0"/>
        <w:rPr>
          <w:rFonts w:ascii="Open Sans" w:hAnsi="Open Sans" w:cs="Open Sans"/>
          <w:sz w:val="20"/>
        </w:rPr>
      </w:pPr>
    </w:p>
    <w:p w14:paraId="4D893E52" w14:textId="0723D71C" w:rsidR="00A41252" w:rsidRPr="00C51A3A" w:rsidRDefault="00A41252" w:rsidP="00A41252">
      <w:pPr>
        <w:pStyle w:val="Datum"/>
        <w:spacing w:before="0" w:after="0"/>
        <w:ind w:left="0"/>
        <w:rPr>
          <w:rFonts w:ascii="Open Sans" w:hAnsi="Open Sans" w:cs="Open Sans"/>
          <w:sz w:val="20"/>
          <w:lang w:val="cs-CZ"/>
        </w:rPr>
      </w:pPr>
      <w:r w:rsidRPr="00F26CE6">
        <w:rPr>
          <w:rFonts w:ascii="Open Sans" w:hAnsi="Open Sans" w:cs="Open Sans"/>
          <w:sz w:val="20"/>
        </w:rPr>
        <w:t xml:space="preserve">V Mělníku </w:t>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21EF9740" w:rsidR="0082577D" w:rsidRDefault="005D411D" w:rsidP="00A41252">
      <w:pPr>
        <w:pStyle w:val="Datum"/>
        <w:spacing w:before="0" w:after="0"/>
        <w:ind w:left="0"/>
        <w:rPr>
          <w:rFonts w:ascii="Open Sans" w:hAnsi="Open Sans" w:cs="Open Sans"/>
          <w:sz w:val="20"/>
          <w:lang w:val="cs-CZ"/>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7B7866">
        <w:rPr>
          <w:rFonts w:ascii="Open Sans" w:hAnsi="Open Sans" w:cs="Open Sans"/>
          <w:sz w:val="20"/>
          <w:lang w:val="cs-CZ" w:eastAsia="en-US"/>
        </w:rPr>
        <w:t>Ing. Jakub Dušátko</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lang w:val="cs-CZ"/>
        </w:rPr>
        <w:t xml:space="preserve">jednatel JD-Stavební Inženýrství, s.r.o. </w:t>
      </w:r>
    </w:p>
    <w:p w14:paraId="1081B459" w14:textId="77777777" w:rsidR="002F59D7" w:rsidRDefault="002F59D7" w:rsidP="00A41252">
      <w:pPr>
        <w:pStyle w:val="Datum"/>
        <w:spacing w:before="0" w:after="0"/>
        <w:ind w:left="0"/>
        <w:rPr>
          <w:rFonts w:ascii="Open Sans" w:hAnsi="Open Sans" w:cs="Open Sans"/>
          <w:sz w:val="20"/>
          <w:lang w:val="cs-CZ"/>
        </w:rPr>
      </w:pPr>
    </w:p>
    <w:p w14:paraId="5AF069AF" w14:textId="759BA8F6" w:rsidR="002F59D7" w:rsidRPr="007B7866" w:rsidRDefault="002F59D7" w:rsidP="00A41252">
      <w:pPr>
        <w:pStyle w:val="Datum"/>
        <w:spacing w:before="0" w:after="0"/>
        <w:ind w:left="0"/>
        <w:rPr>
          <w:rFonts w:ascii="Open Sans" w:hAnsi="Open Sans" w:cs="Open Sans"/>
          <w:sz w:val="20"/>
          <w:lang w:val="cs-CZ"/>
        </w:rPr>
      </w:pP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p>
    <w:sectPr w:rsidR="002F59D7" w:rsidRPr="007B7866" w:rsidSect="00A41252">
      <w:footerReference w:type="default" r:id="rId9"/>
      <w:pgSz w:w="11906" w:h="16838"/>
      <w:pgMar w:top="1417" w:right="1417" w:bottom="709" w:left="1417" w:header="708" w:footer="23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6768" w16cex:dateUtc="2023-09-25T18:09:00Z"/>
  <w16cex:commentExtensible w16cex:durableId="28BC6754" w16cex:dateUtc="2023-09-25T18:08:00Z"/>
  <w16cex:commentExtensible w16cex:durableId="28BC6ADC" w16cex:dateUtc="2023-09-25T18:23:00Z"/>
  <w16cex:commentExtensible w16cex:durableId="28BC6BC9" w16cex:dateUtc="2023-09-25T18:27:00Z"/>
  <w16cex:commentExtensible w16cex:durableId="28BD645F" w16cex:dateUtc="2023-09-26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FF5AC" w16cid:durableId="28BC6768"/>
  <w16cid:commentId w16cid:paraId="1C88052E" w16cid:durableId="28BC6754"/>
  <w16cid:commentId w16cid:paraId="255D7E3E" w16cid:durableId="28BC6ADC"/>
  <w16cid:commentId w16cid:paraId="0BB620C1" w16cid:durableId="28BC6BC9"/>
  <w16cid:commentId w16cid:paraId="36753879" w16cid:durableId="28BD64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3A4B" w14:textId="77777777" w:rsidR="00575B47" w:rsidRDefault="00575B47">
      <w:r>
        <w:separator/>
      </w:r>
    </w:p>
  </w:endnote>
  <w:endnote w:type="continuationSeparator" w:id="0">
    <w:p w14:paraId="374592C2" w14:textId="77777777" w:rsidR="00575B47" w:rsidRDefault="0057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7E63EC48"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D63FC3">
      <w:rPr>
        <w:rFonts w:ascii="Open Sans" w:hAnsi="Open Sans" w:cs="Open Sans"/>
        <w:b w:val="0"/>
        <w:i w:val="0"/>
        <w:noProof/>
        <w:sz w:val="18"/>
        <w:szCs w:val="18"/>
      </w:rPr>
      <w:t>6</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AFC3B" w14:textId="77777777" w:rsidR="00575B47" w:rsidRDefault="00575B47">
      <w:r>
        <w:separator/>
      </w:r>
    </w:p>
  </w:footnote>
  <w:footnote w:type="continuationSeparator" w:id="0">
    <w:p w14:paraId="7AB3581A" w14:textId="77777777" w:rsidR="00575B47" w:rsidRDefault="00575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39"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4"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5"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6"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37"/>
  </w:num>
  <w:num w:numId="4">
    <w:abstractNumId w:val="24"/>
  </w:num>
  <w:num w:numId="5">
    <w:abstractNumId w:val="28"/>
  </w:num>
  <w:num w:numId="6">
    <w:abstractNumId w:val="17"/>
  </w:num>
  <w:num w:numId="7">
    <w:abstractNumId w:val="22"/>
  </w:num>
  <w:num w:numId="8">
    <w:abstractNumId w:val="31"/>
  </w:num>
  <w:num w:numId="9">
    <w:abstractNumId w:val="19"/>
  </w:num>
  <w:num w:numId="10">
    <w:abstractNumId w:val="25"/>
  </w:num>
  <w:num w:numId="11">
    <w:abstractNumId w:val="12"/>
  </w:num>
  <w:num w:numId="12">
    <w:abstractNumId w:val="11"/>
  </w:num>
  <w:num w:numId="13">
    <w:abstractNumId w:val="29"/>
  </w:num>
  <w:num w:numId="14">
    <w:abstractNumId w:val="0"/>
  </w:num>
  <w:num w:numId="15">
    <w:abstractNumId w:val="14"/>
  </w:num>
  <w:num w:numId="16">
    <w:abstractNumId w:val="36"/>
  </w:num>
  <w:num w:numId="17">
    <w:abstractNumId w:val="9"/>
  </w:num>
  <w:num w:numId="18">
    <w:abstractNumId w:val="10"/>
  </w:num>
  <w:num w:numId="19">
    <w:abstractNumId w:val="3"/>
  </w:num>
  <w:num w:numId="20">
    <w:abstractNumId w:val="41"/>
  </w:num>
  <w:num w:numId="21">
    <w:abstractNumId w:val="35"/>
  </w:num>
  <w:num w:numId="22">
    <w:abstractNumId w:val="27"/>
  </w:num>
  <w:num w:numId="23">
    <w:abstractNumId w:val="1"/>
  </w:num>
  <w:num w:numId="24">
    <w:abstractNumId w:val="7"/>
  </w:num>
  <w:num w:numId="25">
    <w:abstractNumId w:val="15"/>
  </w:num>
  <w:num w:numId="26">
    <w:abstractNumId w:val="4"/>
  </w:num>
  <w:num w:numId="27">
    <w:abstractNumId w:val="40"/>
  </w:num>
  <w:num w:numId="28">
    <w:abstractNumId w:val="8"/>
  </w:num>
  <w:num w:numId="29">
    <w:abstractNumId w:val="46"/>
  </w:num>
  <w:num w:numId="30">
    <w:abstractNumId w:val="2"/>
  </w:num>
  <w:num w:numId="31">
    <w:abstractNumId w:val="30"/>
  </w:num>
  <w:num w:numId="32">
    <w:abstractNumId w:val="44"/>
  </w:num>
  <w:num w:numId="33">
    <w:abstractNumId w:val="34"/>
  </w:num>
  <w:num w:numId="34">
    <w:abstractNumId w:val="16"/>
  </w:num>
  <w:num w:numId="35">
    <w:abstractNumId w:val="43"/>
  </w:num>
  <w:num w:numId="36">
    <w:abstractNumId w:val="32"/>
  </w:num>
  <w:num w:numId="37">
    <w:abstractNumId w:val="13"/>
  </w:num>
  <w:num w:numId="38">
    <w:abstractNumId w:val="21"/>
  </w:num>
  <w:num w:numId="39">
    <w:abstractNumId w:val="5"/>
  </w:num>
  <w:num w:numId="40">
    <w:abstractNumId w:val="23"/>
  </w:num>
  <w:num w:numId="41">
    <w:abstractNumId w:val="45"/>
  </w:num>
  <w:num w:numId="42">
    <w:abstractNumId w:val="20"/>
  </w:num>
  <w:num w:numId="43">
    <w:abstractNumId w:val="26"/>
  </w:num>
  <w:num w:numId="44">
    <w:abstractNumId w:val="16"/>
  </w:num>
  <w:num w:numId="45">
    <w:abstractNumId w:val="16"/>
  </w:num>
  <w:num w:numId="46">
    <w:abstractNumId w:val="42"/>
  </w:num>
  <w:num w:numId="47">
    <w:abstractNumId w:val="16"/>
  </w:num>
  <w:num w:numId="48">
    <w:abstractNumId w:val="33"/>
  </w:num>
  <w:num w:numId="49">
    <w:abstractNumId w:val="39"/>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626B7"/>
    <w:rsid w:val="0007514F"/>
    <w:rsid w:val="000819A6"/>
    <w:rsid w:val="00087A3A"/>
    <w:rsid w:val="000907D6"/>
    <w:rsid w:val="00091C57"/>
    <w:rsid w:val="00096F96"/>
    <w:rsid w:val="000A0134"/>
    <w:rsid w:val="000A0B70"/>
    <w:rsid w:val="000B7C00"/>
    <w:rsid w:val="000C6341"/>
    <w:rsid w:val="000C7D76"/>
    <w:rsid w:val="000D2C76"/>
    <w:rsid w:val="000D3692"/>
    <w:rsid w:val="000D4721"/>
    <w:rsid w:val="000D54BE"/>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6808"/>
    <w:rsid w:val="00127DC3"/>
    <w:rsid w:val="00130EF7"/>
    <w:rsid w:val="00141E19"/>
    <w:rsid w:val="001427B3"/>
    <w:rsid w:val="00142FBD"/>
    <w:rsid w:val="00144594"/>
    <w:rsid w:val="00147ADF"/>
    <w:rsid w:val="00154E00"/>
    <w:rsid w:val="00162E36"/>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2F59D7"/>
    <w:rsid w:val="00313E32"/>
    <w:rsid w:val="00314350"/>
    <w:rsid w:val="00315C4B"/>
    <w:rsid w:val="00316E96"/>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36F0"/>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D411D"/>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B7866"/>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83D"/>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6F97"/>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1301"/>
    <w:rsid w:val="00993DBC"/>
    <w:rsid w:val="009B25E5"/>
    <w:rsid w:val="009B45FD"/>
    <w:rsid w:val="009C0C05"/>
    <w:rsid w:val="009C1297"/>
    <w:rsid w:val="009D284C"/>
    <w:rsid w:val="009E0089"/>
    <w:rsid w:val="009E1B7F"/>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7F39"/>
    <w:rsid w:val="00B407D6"/>
    <w:rsid w:val="00B41A76"/>
    <w:rsid w:val="00B459BF"/>
    <w:rsid w:val="00B45CDA"/>
    <w:rsid w:val="00B55D07"/>
    <w:rsid w:val="00B57C8F"/>
    <w:rsid w:val="00B57F4E"/>
    <w:rsid w:val="00B62250"/>
    <w:rsid w:val="00B70982"/>
    <w:rsid w:val="00B71442"/>
    <w:rsid w:val="00B730F1"/>
    <w:rsid w:val="00B750CA"/>
    <w:rsid w:val="00B80912"/>
    <w:rsid w:val="00B811A8"/>
    <w:rsid w:val="00B81536"/>
    <w:rsid w:val="00B81A66"/>
    <w:rsid w:val="00B83868"/>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1A3A"/>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7CFC"/>
    <w:rsid w:val="00CB7DF9"/>
    <w:rsid w:val="00CC1C25"/>
    <w:rsid w:val="00CD459D"/>
    <w:rsid w:val="00CE20FD"/>
    <w:rsid w:val="00CE4242"/>
    <w:rsid w:val="00CE6E18"/>
    <w:rsid w:val="00CE7D48"/>
    <w:rsid w:val="00CF6C38"/>
    <w:rsid w:val="00D0348A"/>
    <w:rsid w:val="00D0397E"/>
    <w:rsid w:val="00D06154"/>
    <w:rsid w:val="00D065D9"/>
    <w:rsid w:val="00D162C7"/>
    <w:rsid w:val="00D1655D"/>
    <w:rsid w:val="00D175DD"/>
    <w:rsid w:val="00D202B3"/>
    <w:rsid w:val="00D21A98"/>
    <w:rsid w:val="00D247EF"/>
    <w:rsid w:val="00D248FC"/>
    <w:rsid w:val="00D304F6"/>
    <w:rsid w:val="00D35970"/>
    <w:rsid w:val="00D36671"/>
    <w:rsid w:val="00D370F1"/>
    <w:rsid w:val="00D37E6D"/>
    <w:rsid w:val="00D435CB"/>
    <w:rsid w:val="00D44B1C"/>
    <w:rsid w:val="00D62267"/>
    <w:rsid w:val="00D63FC3"/>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A3DCF-8ED0-420F-88FB-6DA0310D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2693</Words>
  <Characters>15891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2025-01-22T16:16:00Z</cp:lastPrinted>
  <dcterms:created xsi:type="dcterms:W3CDTF">2025-04-29T11:37:00Z</dcterms:created>
  <dcterms:modified xsi:type="dcterms:W3CDTF">2025-04-29T11:38:00Z</dcterms:modified>
</cp:coreProperties>
</file>