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EE" w:rsidRDefault="0055432C">
      <w:pPr>
        <w:spacing w:before="29"/>
        <w:ind w:left="476"/>
      </w:pPr>
      <w:r>
        <w:t>Příloha č. 1 SoD</w:t>
      </w:r>
    </w:p>
    <w:p w:rsidR="00F44EEE" w:rsidRDefault="00F44EEE">
      <w:pPr>
        <w:pStyle w:val="Zkladntext"/>
      </w:pPr>
    </w:p>
    <w:p w:rsidR="00F44EEE" w:rsidRDefault="00F44EEE">
      <w:pPr>
        <w:pStyle w:val="Zkladntext"/>
        <w:spacing w:before="11"/>
        <w:rPr>
          <w:sz w:val="15"/>
        </w:rPr>
      </w:pPr>
    </w:p>
    <w:p w:rsidR="00F44EEE" w:rsidRDefault="0055432C">
      <w:pPr>
        <w:pStyle w:val="Nadpis1"/>
        <w:spacing w:before="1"/>
      </w:pPr>
      <w:r>
        <w:t>Čestné prohlášení</w:t>
      </w:r>
    </w:p>
    <w:p w:rsidR="00F44EEE" w:rsidRDefault="00F44EEE">
      <w:pPr>
        <w:pStyle w:val="Zkladntext"/>
        <w:spacing w:before="10"/>
        <w:rPr>
          <w:b/>
          <w:sz w:val="14"/>
        </w:rPr>
      </w:pPr>
    </w:p>
    <w:p w:rsidR="00F44EEE" w:rsidRDefault="0055432C">
      <w:pPr>
        <w:ind w:left="1292" w:right="935"/>
        <w:jc w:val="center"/>
        <w:rPr>
          <w:b/>
          <w:sz w:val="20"/>
        </w:rPr>
      </w:pPr>
      <w:r>
        <w:rPr>
          <w:b/>
          <w:sz w:val="20"/>
        </w:rPr>
        <w:t>týkající se souladu s omezujícími opatřeními ČR a EU vzhledem k invazi Ruska na Ukrajinu</w:t>
      </w:r>
    </w:p>
    <w:p w:rsidR="00F44EEE" w:rsidRDefault="00F44EEE">
      <w:pPr>
        <w:pStyle w:val="Zkladntext"/>
        <w:spacing w:before="9"/>
        <w:rPr>
          <w:b/>
          <w:sz w:val="14"/>
        </w:rPr>
      </w:pPr>
    </w:p>
    <w:p w:rsidR="00F44EEE" w:rsidRDefault="0055432C">
      <w:pPr>
        <w:pStyle w:val="Zkladntext"/>
        <w:spacing w:before="1" w:line="256" w:lineRule="auto"/>
        <w:ind w:left="476" w:right="123"/>
        <w:jc w:val="both"/>
      </w:pPr>
      <w:r>
        <w:t>V souvislosti s uzavřením smlouvy s Národním ústavem duševního zdraví, se sídlem Klecany, Topolová 748, PSČ 250 67, IČ 000 23 752 (dále jen „NUDZ“) činí</w:t>
      </w:r>
    </w:p>
    <w:p w:rsidR="00F44EEE" w:rsidRDefault="0055432C">
      <w:pPr>
        <w:tabs>
          <w:tab w:val="left" w:pos="1892"/>
        </w:tabs>
        <w:spacing w:before="164"/>
        <w:ind w:left="476"/>
        <w:rPr>
          <w:b/>
          <w:sz w:val="20"/>
        </w:rPr>
      </w:pPr>
      <w:r>
        <w:rPr>
          <w:sz w:val="20"/>
        </w:rPr>
        <w:t>Jméno/název</w:t>
      </w:r>
      <w:r>
        <w:rPr>
          <w:sz w:val="20"/>
        </w:rPr>
        <w:tab/>
      </w:r>
      <w:r>
        <w:rPr>
          <w:b/>
          <w:sz w:val="20"/>
        </w:rPr>
        <w:t>CRDR spol. 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r.o.</w:t>
      </w:r>
    </w:p>
    <w:p w:rsidR="00F44EEE" w:rsidRDefault="0055432C">
      <w:pPr>
        <w:spacing w:before="178"/>
        <w:ind w:left="476"/>
        <w:rPr>
          <w:b/>
          <w:sz w:val="20"/>
        </w:rPr>
      </w:pPr>
      <w:r>
        <w:rPr>
          <w:sz w:val="20"/>
        </w:rPr>
        <w:t xml:space="preserve">Bytem/se sídlem </w:t>
      </w:r>
      <w:r>
        <w:rPr>
          <w:b/>
          <w:sz w:val="20"/>
        </w:rPr>
        <w:t>Ja</w:t>
      </w:r>
      <w:bookmarkStart w:id="0" w:name="_GoBack"/>
      <w:r>
        <w:rPr>
          <w:b/>
          <w:sz w:val="20"/>
        </w:rPr>
        <w:t>na Masaryka 108/10, 120 00 Praha 2</w:t>
      </w:r>
      <w:bookmarkEnd w:id="0"/>
    </w:p>
    <w:p w:rsidR="00F44EEE" w:rsidRDefault="0055432C">
      <w:pPr>
        <w:pStyle w:val="Zkladntext"/>
        <w:spacing w:before="178" w:line="417" w:lineRule="auto"/>
        <w:ind w:left="476" w:right="6610"/>
      </w:pPr>
      <w:r>
        <w:t xml:space="preserve">Datum narození/IČ </w:t>
      </w:r>
      <w:r>
        <w:rPr>
          <w:b/>
        </w:rPr>
        <w:t>28</w:t>
      </w:r>
      <w:r>
        <w:rPr>
          <w:b/>
        </w:rPr>
        <w:t xml:space="preserve">500679 </w:t>
      </w:r>
      <w:r>
        <w:t>(dále jen jako „Smluvní strana“) toto prohlášení:</w:t>
      </w:r>
    </w:p>
    <w:p w:rsidR="00F44EEE" w:rsidRDefault="0055432C">
      <w:pPr>
        <w:pStyle w:val="Zkladntext"/>
        <w:spacing w:before="1" w:line="276" w:lineRule="auto"/>
        <w:ind w:left="476" w:right="105"/>
        <w:jc w:val="both"/>
      </w:pPr>
      <w:r>
        <w:t>Smluvní strana tímto prohlašuje, že ona sama, jakož i její činnost a veškeré plnění dle smlouvy uzavírané s NUDZ zahrnující zboží, služby, i další formy plnění, jsou plně v souladu s Nařízením Rady (</w:t>
      </w:r>
      <w:r>
        <w:t>EU) č. 833/2014 ze dne 31. července  2014  o  omezujících   opatření  vzhledem  k činnostem  Ruska   destabilizujícím  situaci  na   Ukrajině, v platném znění, jakož i v souladu s dalšími právními předpisy upravující omezující opatření vzhledem k invazi Ru</w:t>
      </w:r>
      <w:r>
        <w:t xml:space="preserve">ska na Ukrajinu a mezinárodní sankce, mezi které patří zejména zákon č. 69/2006 Sb., o provádění mezinárodních  sankcí   v platném   znění,   </w:t>
      </w:r>
      <w:hyperlink r:id="rId7">
        <w:r>
          <w:t>Nařízení   (EU)   č. 269/</w:t>
        </w:r>
        <w:r>
          <w:t>2014   o omezujících   opatřeních   vzhledem</w:t>
        </w:r>
      </w:hyperlink>
      <w:r>
        <w:t xml:space="preserve">  </w:t>
      </w:r>
      <w:hyperlink r:id="rId8">
        <w:r>
          <w:t xml:space="preserve">k činnostem narušujícím nebo ohrožujícím územní celistvost, svrchovanost a nezávislost Ukrajiny, </w:t>
        </w:r>
      </w:hyperlink>
      <w:hyperlink r:id="rId9">
        <w:r>
          <w:t>Nařízení (EU)</w:t>
        </w:r>
      </w:hyperlink>
      <w:r>
        <w:t xml:space="preserve"> </w:t>
      </w:r>
      <w:hyperlink r:id="rId10">
        <w:r>
          <w:t>č.</w:t>
        </w:r>
        <w:r>
          <w:rPr>
            <w:spacing w:val="-4"/>
          </w:rPr>
          <w:t xml:space="preserve"> </w:t>
        </w:r>
        <w:r>
          <w:t>692/2014</w:t>
        </w:r>
        <w:r>
          <w:rPr>
            <w:spacing w:val="-3"/>
          </w:rPr>
          <w:t xml:space="preserve"> </w:t>
        </w:r>
        <w:r>
          <w:t>o</w:t>
        </w:r>
        <w:r>
          <w:rPr>
            <w:spacing w:val="-2"/>
          </w:rPr>
          <w:t xml:space="preserve"> </w:t>
        </w:r>
        <w:r>
          <w:t>omezujících</w:t>
        </w:r>
        <w:r>
          <w:rPr>
            <w:spacing w:val="-3"/>
          </w:rPr>
          <w:t xml:space="preserve"> </w:t>
        </w:r>
        <w:r>
          <w:t>opatřeních</w:t>
        </w:r>
        <w:r>
          <w:rPr>
            <w:spacing w:val="-4"/>
          </w:rPr>
          <w:t xml:space="preserve"> </w:t>
        </w:r>
        <w:r>
          <w:t>v</w:t>
        </w:r>
        <w:r>
          <w:rPr>
            <w:spacing w:val="-3"/>
          </w:rPr>
          <w:t xml:space="preserve"> </w:t>
        </w:r>
        <w:r>
          <w:t>reakci</w:t>
        </w:r>
        <w:r>
          <w:rPr>
            <w:spacing w:val="-2"/>
          </w:rPr>
          <w:t xml:space="preserve"> </w:t>
        </w:r>
        <w:r>
          <w:t>na</w:t>
        </w:r>
        <w:r>
          <w:rPr>
            <w:spacing w:val="-4"/>
          </w:rPr>
          <w:t xml:space="preserve"> </w:t>
        </w:r>
        <w:r>
          <w:t>protiprávní</w:t>
        </w:r>
        <w:r>
          <w:rPr>
            <w:spacing w:val="-3"/>
          </w:rPr>
          <w:t xml:space="preserve"> </w:t>
        </w:r>
        <w:r>
          <w:t>anexi</w:t>
        </w:r>
        <w:r>
          <w:rPr>
            <w:spacing w:val="-5"/>
          </w:rPr>
          <w:t xml:space="preserve"> </w:t>
        </w:r>
        <w:r>
          <w:t>Krymu</w:t>
        </w:r>
        <w:r>
          <w:rPr>
            <w:spacing w:val="-4"/>
          </w:rPr>
          <w:t xml:space="preserve"> </w:t>
        </w:r>
        <w:r>
          <w:t>a</w:t>
        </w:r>
        <w:r>
          <w:rPr>
            <w:spacing w:val="-3"/>
          </w:rPr>
          <w:t xml:space="preserve"> </w:t>
        </w:r>
        <w:r>
          <w:t>Sevastopo</w:t>
        </w:r>
        <w:r>
          <w:t>lu</w:t>
        </w:r>
        <w:r>
          <w:rPr>
            <w:spacing w:val="3"/>
          </w:rPr>
          <w:t xml:space="preserve"> </w:t>
        </w:r>
      </w:hyperlink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 relevantní předpisy EU a České republiky v této oblasti.</w:t>
      </w:r>
      <w:r>
        <w:rPr>
          <w:spacing w:val="-14"/>
        </w:rPr>
        <w:t xml:space="preserve"> </w:t>
      </w:r>
      <w:r>
        <w:rPr>
          <w:vertAlign w:val="superscript"/>
        </w:rPr>
        <w:t>*)</w:t>
      </w:r>
    </w:p>
    <w:p w:rsidR="00F44EEE" w:rsidRDefault="00F44EEE">
      <w:pPr>
        <w:pStyle w:val="Zkladntext"/>
        <w:rPr>
          <w:sz w:val="22"/>
        </w:rPr>
      </w:pPr>
    </w:p>
    <w:p w:rsidR="00F44EEE" w:rsidRDefault="0055432C">
      <w:pPr>
        <w:pStyle w:val="Zkladntext"/>
        <w:spacing w:before="192" w:line="259" w:lineRule="auto"/>
        <w:ind w:left="476" w:right="112"/>
        <w:jc w:val="both"/>
      </w:pPr>
      <w:r>
        <w:t>Smluvní strana se zavazuje, že žádné finanční prostředky, které obdrží za plnění dle smlouvy uzavírané s NUDZ, nepoužije v rozporu s mezinárodními sankcemi uvedenými v § 2 zákona č. 69/2006 Sb., o provádění mezinárodních sankcí, v platném znění, zejména, ž</w:t>
      </w:r>
      <w:r>
        <w:t>e tyto finanční prostředky přímo ani nepřímo nezpřístupní osobám,</w:t>
      </w:r>
      <w:r>
        <w:rPr>
          <w:spacing w:val="-10"/>
        </w:rPr>
        <w:t xml:space="preserve"> </w:t>
      </w:r>
      <w:r>
        <w:t>subjektům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orgánům</w:t>
      </w:r>
      <w:r>
        <w:rPr>
          <w:spacing w:val="-10"/>
        </w:rPr>
        <w:t xml:space="preserve"> </w:t>
      </w:r>
      <w:r>
        <w:t>s nimi</w:t>
      </w:r>
      <w:r>
        <w:rPr>
          <w:spacing w:val="-10"/>
        </w:rPr>
        <w:t xml:space="preserve"> </w:t>
      </w:r>
      <w:r>
        <w:t>spojenými,</w:t>
      </w:r>
      <w:r>
        <w:rPr>
          <w:spacing w:val="-11"/>
        </w:rPr>
        <w:t xml:space="preserve"> </w:t>
      </w:r>
      <w:r>
        <w:t>uvedenými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sankčních</w:t>
      </w:r>
      <w:r>
        <w:rPr>
          <w:spacing w:val="-12"/>
        </w:rPr>
        <w:t xml:space="preserve"> </w:t>
      </w:r>
      <w:r>
        <w:t>seznamech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příloze</w:t>
      </w:r>
      <w:r>
        <w:rPr>
          <w:spacing w:val="24"/>
        </w:rPr>
        <w:t xml:space="preserve"> </w:t>
      </w:r>
      <w:r>
        <w:t>nařízení</w:t>
      </w:r>
      <w:r>
        <w:rPr>
          <w:spacing w:val="-9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(EU) č. 2014/269 v platném znění nebo v jejich prospěch.“</w:t>
      </w:r>
    </w:p>
    <w:p w:rsidR="00F44EEE" w:rsidRDefault="00F44EEE">
      <w:pPr>
        <w:pStyle w:val="Zkladntext"/>
      </w:pPr>
    </w:p>
    <w:p w:rsidR="00F44EEE" w:rsidRDefault="00F44EEE">
      <w:pPr>
        <w:pStyle w:val="Zkladntext"/>
      </w:pPr>
    </w:p>
    <w:p w:rsidR="00F44EEE" w:rsidRPr="009F5E67" w:rsidRDefault="009F5E67" w:rsidP="009F5E67">
      <w:pPr>
        <w:tabs>
          <w:tab w:val="left" w:pos="476"/>
          <w:tab w:val="left" w:pos="477"/>
        </w:tabs>
        <w:spacing w:line="252" w:lineRule="auto"/>
        <w:ind w:right="118"/>
        <w:rPr>
          <w:b/>
          <w:sz w:val="24"/>
        </w:rPr>
      </w:pPr>
      <w:r w:rsidRPr="009F5E67">
        <w:rPr>
          <w:b/>
          <w:sz w:val="24"/>
          <w:highlight w:val="yellow"/>
        </w:rPr>
        <w:t>ANONYMIZOVÁNO</w:t>
      </w:r>
    </w:p>
    <w:sectPr w:rsidR="00F44EEE" w:rsidRPr="009F5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660" w:right="130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2C" w:rsidRDefault="0055432C" w:rsidP="0055432C">
      <w:r>
        <w:separator/>
      </w:r>
    </w:p>
  </w:endnote>
  <w:endnote w:type="continuationSeparator" w:id="0">
    <w:p w:rsidR="0055432C" w:rsidRDefault="0055432C" w:rsidP="0055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C" w:rsidRDefault="00554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C" w:rsidRDefault="005543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C" w:rsidRDefault="00554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2C" w:rsidRDefault="0055432C" w:rsidP="0055432C">
      <w:r>
        <w:separator/>
      </w:r>
    </w:p>
  </w:footnote>
  <w:footnote w:type="continuationSeparator" w:id="0">
    <w:p w:rsidR="0055432C" w:rsidRDefault="0055432C" w:rsidP="0055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C" w:rsidRDefault="00554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C" w:rsidRDefault="005543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C" w:rsidRDefault="00554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70A09"/>
    <w:multiLevelType w:val="hybridMultilevel"/>
    <w:tmpl w:val="56625F52"/>
    <w:lvl w:ilvl="0" w:tplc="3EA21BC8">
      <w:numFmt w:val="bullet"/>
      <w:lvlText w:val="-"/>
      <w:lvlJc w:val="left"/>
      <w:pPr>
        <w:ind w:left="476" w:hanging="360"/>
      </w:pPr>
      <w:rPr>
        <w:rFonts w:hint="default"/>
        <w:i/>
        <w:spacing w:val="-11"/>
        <w:w w:val="100"/>
        <w:lang w:val="cs-CZ" w:eastAsia="cs-CZ" w:bidi="cs-CZ"/>
      </w:rPr>
    </w:lvl>
    <w:lvl w:ilvl="1" w:tplc="2D2E83C2">
      <w:numFmt w:val="bullet"/>
      <w:lvlText w:val="•"/>
      <w:lvlJc w:val="left"/>
      <w:pPr>
        <w:ind w:left="1398" w:hanging="360"/>
      </w:pPr>
      <w:rPr>
        <w:rFonts w:hint="default"/>
        <w:lang w:val="cs-CZ" w:eastAsia="cs-CZ" w:bidi="cs-CZ"/>
      </w:rPr>
    </w:lvl>
    <w:lvl w:ilvl="2" w:tplc="4FC6DE7A">
      <w:numFmt w:val="bullet"/>
      <w:lvlText w:val="•"/>
      <w:lvlJc w:val="left"/>
      <w:pPr>
        <w:ind w:left="2317" w:hanging="360"/>
      </w:pPr>
      <w:rPr>
        <w:rFonts w:hint="default"/>
        <w:lang w:val="cs-CZ" w:eastAsia="cs-CZ" w:bidi="cs-CZ"/>
      </w:rPr>
    </w:lvl>
    <w:lvl w:ilvl="3" w:tplc="A636E75E">
      <w:numFmt w:val="bullet"/>
      <w:lvlText w:val="•"/>
      <w:lvlJc w:val="left"/>
      <w:pPr>
        <w:ind w:left="3235" w:hanging="360"/>
      </w:pPr>
      <w:rPr>
        <w:rFonts w:hint="default"/>
        <w:lang w:val="cs-CZ" w:eastAsia="cs-CZ" w:bidi="cs-CZ"/>
      </w:rPr>
    </w:lvl>
    <w:lvl w:ilvl="4" w:tplc="A692C88E">
      <w:numFmt w:val="bullet"/>
      <w:lvlText w:val="•"/>
      <w:lvlJc w:val="left"/>
      <w:pPr>
        <w:ind w:left="4154" w:hanging="360"/>
      </w:pPr>
      <w:rPr>
        <w:rFonts w:hint="default"/>
        <w:lang w:val="cs-CZ" w:eastAsia="cs-CZ" w:bidi="cs-CZ"/>
      </w:rPr>
    </w:lvl>
    <w:lvl w:ilvl="5" w:tplc="8904C1A8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ECF87B98">
      <w:numFmt w:val="bullet"/>
      <w:lvlText w:val="•"/>
      <w:lvlJc w:val="left"/>
      <w:pPr>
        <w:ind w:left="5991" w:hanging="360"/>
      </w:pPr>
      <w:rPr>
        <w:rFonts w:hint="default"/>
        <w:lang w:val="cs-CZ" w:eastAsia="cs-CZ" w:bidi="cs-CZ"/>
      </w:rPr>
    </w:lvl>
    <w:lvl w:ilvl="7" w:tplc="D2C0C21C">
      <w:numFmt w:val="bullet"/>
      <w:lvlText w:val="•"/>
      <w:lvlJc w:val="left"/>
      <w:pPr>
        <w:ind w:left="6910" w:hanging="360"/>
      </w:pPr>
      <w:rPr>
        <w:rFonts w:hint="default"/>
        <w:lang w:val="cs-CZ" w:eastAsia="cs-CZ" w:bidi="cs-CZ"/>
      </w:rPr>
    </w:lvl>
    <w:lvl w:ilvl="8" w:tplc="3A3C838A">
      <w:numFmt w:val="bullet"/>
      <w:lvlText w:val="•"/>
      <w:lvlJc w:val="left"/>
      <w:pPr>
        <w:ind w:left="7829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44EEE"/>
    <w:rsid w:val="0055432C"/>
    <w:rsid w:val="009F5E67"/>
    <w:rsid w:val="00F4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D3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292" w:right="934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line="219" w:lineRule="exact"/>
      <w:ind w:left="47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543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432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5543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432C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celex%3A32014R026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CS/TXT/?uri=celex%3A32014R026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ur-lex.europa.eu/legal-content/CS/AUTO/?uri=celex%3A32014R0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CS/AUTO/?uri=celex%3A32014R069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2025-04-29T11:54:00Z</dcterms:created>
  <dcterms:modified xsi:type="dcterms:W3CDTF">2025-04-29T11:54:00Z</dcterms:modified>
</cp:coreProperties>
</file>