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7F53E6">
        <w:rPr>
          <w:rFonts w:asciiTheme="minorHAnsi" w:hAnsiTheme="minorHAnsi"/>
          <w:b/>
          <w:sz w:val="32"/>
          <w:szCs w:val="32"/>
        </w:rPr>
        <w:t>02461662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1D45AE" w:rsidRPr="00FD7A2F" w:rsidRDefault="001D45AE" w:rsidP="00114EBA">
      <w:pPr>
        <w:pStyle w:val="Zkladntext"/>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7F53E6" w:rsidP="00845099">
      <w:pPr>
        <w:pStyle w:val="Zkladntext"/>
        <w:rPr>
          <w:rFonts w:asciiTheme="minorHAnsi" w:hAnsiTheme="minorHAnsi"/>
          <w:b/>
          <w:sz w:val="22"/>
          <w:szCs w:val="22"/>
        </w:rPr>
      </w:pPr>
      <w:r>
        <w:rPr>
          <w:rFonts w:asciiTheme="minorHAnsi" w:hAnsiTheme="minorHAnsi"/>
          <w:b/>
          <w:sz w:val="22"/>
          <w:szCs w:val="22"/>
        </w:rPr>
        <w:t>Základní článek Hnutí Brontosaurus Fores</w:t>
      </w:r>
      <w:r w:rsidR="004C373B">
        <w:rPr>
          <w:rFonts w:asciiTheme="minorHAnsi" w:hAnsiTheme="minorHAnsi"/>
          <w:b/>
          <w:sz w:val="22"/>
          <w:szCs w:val="22"/>
        </w:rPr>
        <w:t>t</w:t>
      </w:r>
    </w:p>
    <w:p w:rsidR="007F53E6" w:rsidRPr="007F53E6" w:rsidRDefault="007F53E6" w:rsidP="00845099">
      <w:pPr>
        <w:pStyle w:val="Zkladntext"/>
        <w:rPr>
          <w:rFonts w:asciiTheme="minorHAnsi" w:hAnsiTheme="minorHAnsi"/>
          <w:sz w:val="22"/>
          <w:szCs w:val="22"/>
        </w:rPr>
      </w:pPr>
      <w:r>
        <w:rPr>
          <w:rFonts w:asciiTheme="minorHAnsi" w:hAnsiTheme="minorHAnsi"/>
          <w:sz w:val="22"/>
          <w:szCs w:val="22"/>
        </w:rPr>
        <w:t>p</w:t>
      </w:r>
      <w:r w:rsidRPr="007F53E6">
        <w:rPr>
          <w:rFonts w:asciiTheme="minorHAnsi" w:hAnsiTheme="minorHAnsi"/>
          <w:sz w:val="22"/>
          <w:szCs w:val="22"/>
        </w:rPr>
        <w:t>obočný spolek</w:t>
      </w:r>
    </w:p>
    <w:p w:rsidR="007F53E6" w:rsidRDefault="00FD44D8" w:rsidP="00A860F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7F53E6" w:rsidRPr="007F53E6">
        <w:rPr>
          <w:rFonts w:asciiTheme="minorHAnsi" w:hAnsiTheme="minorHAnsi"/>
          <w:sz w:val="22"/>
          <w:szCs w:val="22"/>
        </w:rPr>
        <w:t>Jizerská 281/4, České Budějovice 2, 370 11 České Budějovice</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7F53E6">
        <w:rPr>
          <w:rFonts w:asciiTheme="minorHAnsi" w:hAnsiTheme="minorHAnsi"/>
          <w:sz w:val="22"/>
          <w:szCs w:val="22"/>
        </w:rPr>
        <w:t xml:space="preserve">              </w:t>
      </w:r>
      <w:r w:rsidR="007F53E6" w:rsidRPr="007F53E6">
        <w:rPr>
          <w:rFonts w:asciiTheme="minorHAnsi" w:hAnsiTheme="minorHAnsi"/>
          <w:sz w:val="22"/>
          <w:szCs w:val="22"/>
        </w:rPr>
        <w:t>62536991</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7F53E6">
        <w:rPr>
          <w:rFonts w:asciiTheme="minorHAnsi" w:hAnsiTheme="minorHAnsi"/>
          <w:sz w:val="22"/>
          <w:szCs w:val="22"/>
        </w:rPr>
        <w:t>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7F53E6">
        <w:rPr>
          <w:rFonts w:asciiTheme="minorHAnsi" w:hAnsiTheme="minorHAnsi"/>
          <w:sz w:val="22"/>
          <w:szCs w:val="22"/>
        </w:rPr>
        <w:t xml:space="preserve">Tomášem S m r ž e m, předsedou Rady základního článku </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F53E6">
        <w:rPr>
          <w:rFonts w:asciiTheme="minorHAnsi" w:hAnsiTheme="minorHAnsi"/>
          <w:sz w:val="22"/>
          <w:szCs w:val="22"/>
        </w:rPr>
        <w:t>Česká spořitelna</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276375">
        <w:rPr>
          <w:rFonts w:asciiTheme="minorHAnsi" w:hAnsiTheme="minorHAnsi"/>
          <w:sz w:val="22"/>
          <w:szCs w:val="22"/>
        </w:rPr>
        <w:t>2990527379/0800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4C373B">
        <w:rPr>
          <w:rFonts w:asciiTheme="minorHAnsi" w:hAnsiTheme="minorHAnsi"/>
          <w:sz w:val="22"/>
          <w:szCs w:val="22"/>
        </w:rPr>
        <w:t>02461662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114EBA">
        <w:rPr>
          <w:rFonts w:asciiTheme="minorHAnsi" w:hAnsiTheme="minorHAnsi"/>
          <w:b/>
          <w:sz w:val="22"/>
          <w:szCs w:val="22"/>
        </w:rPr>
        <w:t>Škola hrou s Cassiopeiou. Environmentální výukové programy pro školy v Jihočeském kraji.</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E05E11">
        <w:rPr>
          <w:rFonts w:asciiTheme="minorHAnsi" w:hAnsiTheme="minorHAnsi"/>
          <w:sz w:val="22"/>
          <w:szCs w:val="22"/>
        </w:rPr>
        <w:t xml:space="preserve"> roce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FB49F9">
        <w:rPr>
          <w:rFonts w:asciiTheme="minorHAnsi" w:hAnsiTheme="minorHAnsi"/>
          <w:b/>
          <w:sz w:val="22"/>
          <w:szCs w:val="22"/>
        </w:rPr>
        <w:t>199 653</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FB49F9">
        <w:rPr>
          <w:rFonts w:asciiTheme="minorHAnsi" w:hAnsiTheme="minorHAnsi"/>
          <w:sz w:val="22"/>
          <w:szCs w:val="22"/>
        </w:rPr>
        <w:t>jedno sto devadesát devět tisíc šest set padesát tři korun 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FB49F9">
        <w:rPr>
          <w:rFonts w:asciiTheme="minorHAnsi" w:hAnsiTheme="minorHAnsi"/>
          <w:sz w:val="22"/>
          <w:szCs w:val="22"/>
        </w:rPr>
        <w:t>199 653</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74B59">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FB49F9">
        <w:rPr>
          <w:rFonts w:asciiTheme="minorHAnsi" w:hAnsiTheme="minorHAnsi"/>
          <w:sz w:val="22"/>
          <w:szCs w:val="22"/>
        </w:rPr>
        <w:t>199 653</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9F4074" w:rsidRDefault="009F4074" w:rsidP="009F4074">
      <w:pPr>
        <w:pStyle w:val="Zkladntext"/>
        <w:spacing w:before="120"/>
        <w:jc w:val="both"/>
        <w:rPr>
          <w:rFonts w:asciiTheme="minorHAnsi" w:hAnsiTheme="minorHAnsi"/>
          <w:sz w:val="22"/>
          <w:szCs w:val="22"/>
        </w:rPr>
      </w:pP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908AF"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 xml:space="preserve">Vlastními zdroji se na financování akce příjemce podpory podílet </w:t>
      </w:r>
      <w:r w:rsidR="00D560A2">
        <w:rPr>
          <w:rFonts w:asciiTheme="minorHAnsi" w:hAnsiTheme="minorHAnsi"/>
          <w:sz w:val="22"/>
          <w:szCs w:val="22"/>
        </w:rPr>
        <w:t>nebude.</w:t>
      </w:r>
      <w:r w:rsidR="00DC5152" w:rsidRPr="003908AF">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lastRenderedPageBreak/>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FB49F9" w:rsidRPr="00EA21CE">
        <w:rPr>
          <w:rFonts w:asciiTheme="minorHAnsi" w:hAnsiTheme="minorHAnsi"/>
          <w:sz w:val="22"/>
          <w:szCs w:val="22"/>
        </w:rPr>
        <w:t>„Škola hrou s Cassiopeiou. Environmentální výukové programy pro školy v Jihočeském kraji</w:t>
      </w:r>
      <w:r w:rsidR="004160E7">
        <w:rPr>
          <w:rFonts w:asciiTheme="minorHAnsi" w:hAnsiTheme="minorHAnsi"/>
          <w:sz w:val="22"/>
          <w:szCs w:val="22"/>
        </w:rPr>
        <w:t>.</w:t>
      </w:r>
      <w:r w:rsidR="00FB49F9" w:rsidRPr="00EA21CE">
        <w:rPr>
          <w:rFonts w:asciiTheme="minorHAnsi" w:hAnsiTheme="minorHAnsi"/>
          <w:sz w:val="22"/>
          <w:szCs w:val="22"/>
        </w:rPr>
        <w:t>“</w:t>
      </w:r>
      <w:r w:rsidR="00431187" w:rsidRPr="00EA21CE">
        <w:rPr>
          <w:rFonts w:asciiTheme="minorHAnsi" w:hAnsiTheme="minorHAnsi"/>
          <w:sz w:val="22"/>
          <w:szCs w:val="22"/>
        </w:rPr>
        <w:t>,</w:t>
      </w:r>
      <w:r w:rsidR="00431187" w:rsidRPr="00851075">
        <w:rPr>
          <w:rFonts w:asciiTheme="minorHAnsi" w:hAnsiTheme="minorHAnsi"/>
          <w:sz w:val="22"/>
          <w:szCs w:val="22"/>
        </w:rPr>
        <w:t xml:space="preserve">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EA21CE">
        <w:rPr>
          <w:rFonts w:asciiTheme="minorHAnsi" w:hAnsiTheme="minorHAnsi"/>
          <w:sz w:val="22"/>
          <w:szCs w:val="22"/>
        </w:rPr>
        <w:t>2</w:t>
      </w:r>
      <w:r w:rsidR="00851075" w:rsidRPr="00851075">
        <w:rPr>
          <w:rFonts w:asciiTheme="minorHAnsi" w:hAnsiTheme="minorHAnsi"/>
          <w:sz w:val="22"/>
          <w:szCs w:val="22"/>
        </w:rPr>
        <w:t>0</w:t>
      </w:r>
      <w:r w:rsidR="00431187" w:rsidRPr="00851075">
        <w:rPr>
          <w:rFonts w:asciiTheme="minorHAnsi" w:hAnsiTheme="minorHAnsi"/>
          <w:sz w:val="22"/>
          <w:szCs w:val="22"/>
        </w:rPr>
        <w:t xml:space="preserve">. </w:t>
      </w:r>
      <w:r w:rsidR="00646709" w:rsidRPr="00851075">
        <w:rPr>
          <w:rFonts w:asciiTheme="minorHAnsi" w:hAnsiTheme="minorHAnsi"/>
          <w:sz w:val="22"/>
          <w:szCs w:val="22"/>
        </w:rPr>
        <w:t>10</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EA21CE">
        <w:rPr>
          <w:rFonts w:asciiTheme="minorHAnsi" w:hAnsiTheme="minorHAnsi"/>
          <w:sz w:val="22"/>
          <w:szCs w:val="22"/>
        </w:rPr>
        <w:t>2</w:t>
      </w:r>
      <w:r w:rsidR="00851075">
        <w:rPr>
          <w:rFonts w:asciiTheme="minorHAnsi" w:hAnsiTheme="minorHAnsi"/>
          <w:sz w:val="22"/>
          <w:szCs w:val="22"/>
        </w:rPr>
        <w:t>0</w:t>
      </w:r>
      <w:r w:rsidR="00821152" w:rsidRPr="00851075">
        <w:rPr>
          <w:rFonts w:asciiTheme="minorHAnsi" w:hAnsiTheme="minorHAnsi"/>
          <w:sz w:val="22"/>
          <w:szCs w:val="22"/>
        </w:rPr>
        <w:t xml:space="preserve">. </w:t>
      </w:r>
      <w:r w:rsidR="00646709" w:rsidRPr="00851075">
        <w:rPr>
          <w:rFonts w:asciiTheme="minorHAnsi" w:hAnsiTheme="minorHAnsi"/>
          <w:sz w:val="22"/>
          <w:szCs w:val="22"/>
        </w:rPr>
        <w:t>10</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FB49F9">
        <w:rPr>
          <w:rFonts w:asciiTheme="minorHAnsi" w:hAnsiTheme="minorHAnsi"/>
          <w:bCs/>
          <w:color w:val="auto"/>
          <w:sz w:val="22"/>
          <w:szCs w:val="22"/>
        </w:rPr>
        <w:t xml:space="preserve">zrealizuje 310 </w:t>
      </w:r>
      <w:r w:rsidR="00646709">
        <w:rPr>
          <w:rFonts w:asciiTheme="minorHAnsi" w:hAnsiTheme="minorHAnsi"/>
          <w:bCs/>
          <w:color w:val="auto"/>
          <w:sz w:val="22"/>
          <w:szCs w:val="22"/>
        </w:rPr>
        <w:t xml:space="preserve">denních vzdělávacích akcí v rozsahu </w:t>
      </w:r>
      <w:r w:rsidR="00FB49F9">
        <w:rPr>
          <w:rFonts w:asciiTheme="minorHAnsi" w:hAnsiTheme="minorHAnsi"/>
          <w:bCs/>
          <w:color w:val="auto"/>
          <w:sz w:val="22"/>
          <w:szCs w:val="22"/>
        </w:rPr>
        <w:t>8 280</w:t>
      </w:r>
      <w:r w:rsidR="00646709">
        <w:rPr>
          <w:rFonts w:asciiTheme="minorHAnsi" w:hAnsiTheme="minorHAnsi"/>
          <w:bCs/>
          <w:color w:val="auto"/>
          <w:sz w:val="22"/>
          <w:szCs w:val="22"/>
        </w:rPr>
        <w:t xml:space="preserve"> účastníko</w:t>
      </w:r>
      <w:r w:rsidR="006226CB">
        <w:rPr>
          <w:rFonts w:asciiTheme="minorHAnsi" w:hAnsiTheme="minorHAnsi"/>
          <w:bCs/>
          <w:color w:val="auto"/>
          <w:sz w:val="22"/>
          <w:szCs w:val="22"/>
        </w:rPr>
        <w:t>hodin,</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 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CB4716">
        <w:rPr>
          <w:rFonts w:asciiTheme="minorHAnsi" w:hAnsiTheme="minorHAnsi"/>
          <w:bCs/>
          <w:color w:val="auto"/>
          <w:sz w:val="22"/>
          <w:szCs w:val="22"/>
        </w:rPr>
        <w:t>zrealizuje krátkodobé denní Ekologické výukové programy (EVP) v trvání nejméně 2 vyučovací hodiny (2 x 45 minut)</w:t>
      </w:r>
      <w:r w:rsidR="00B85A62">
        <w:rPr>
          <w:rFonts w:asciiTheme="minorHAnsi" w:hAnsiTheme="minorHAnsi"/>
          <w:bCs/>
          <w:color w:val="auto"/>
          <w:sz w:val="22"/>
          <w:szCs w:val="22"/>
        </w:rPr>
        <w:t>,</w:t>
      </w:r>
      <w:r w:rsidRPr="00CB4716">
        <w:rPr>
          <w:rFonts w:asciiTheme="minorHAnsi" w:hAnsiTheme="minorHAnsi"/>
          <w:bCs/>
          <w:color w:val="auto"/>
          <w:sz w:val="22"/>
          <w:szCs w:val="22"/>
        </w:rPr>
        <w:t xml:space="preserve"> pro mateřské školy minimálně 60 minut.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přičemž příjemce</w:t>
      </w:r>
      <w:r w:rsidR="00851075">
        <w:rPr>
          <w:rFonts w:asciiTheme="minorHAnsi" w:hAnsiTheme="minorHAnsi"/>
          <w:bCs/>
          <w:color w:val="auto"/>
          <w:sz w:val="22"/>
          <w:szCs w:val="22"/>
        </w:rPr>
        <w:t xml:space="preserve"> podpory</w:t>
      </w:r>
      <w:r w:rsidR="007D1808">
        <w:rPr>
          <w:rFonts w:asciiTheme="minorHAnsi" w:hAnsiTheme="minorHAnsi"/>
          <w:bCs/>
          <w:color w:val="auto"/>
          <w:sz w:val="22"/>
          <w:szCs w:val="22"/>
        </w:rPr>
        <w:t xml:space="preserv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w:t>
      </w:r>
      <w:r w:rsidRPr="000A4440">
        <w:rPr>
          <w:rFonts w:asciiTheme="minorHAnsi" w:hAnsiTheme="minorHAnsi"/>
          <w:bCs/>
          <w:color w:val="auto"/>
          <w:sz w:val="22"/>
          <w:szCs w:val="22"/>
        </w:rPr>
        <w:lastRenderedPageBreak/>
        <w:t xml:space="preserve">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740B8E">
        <w:rPr>
          <w:rFonts w:asciiTheme="minorHAnsi" w:hAnsiTheme="minorHAnsi"/>
          <w:sz w:val="22"/>
          <w:szCs w:val="22"/>
        </w:rPr>
        <w:t>1</w:t>
      </w:r>
      <w:r w:rsidRPr="00B34AEE">
        <w:rPr>
          <w:rFonts w:asciiTheme="minorHAnsi" w:hAnsiTheme="minorHAnsi"/>
          <w:sz w:val="22"/>
          <w:szCs w:val="22"/>
        </w:rPr>
        <w:t>/201</w:t>
      </w:r>
      <w:r w:rsidR="00740B8E">
        <w:rPr>
          <w:rFonts w:asciiTheme="minorHAnsi" w:hAnsiTheme="minorHAnsi"/>
          <w:sz w:val="22"/>
          <w:szCs w:val="22"/>
        </w:rPr>
        <w:t>7</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4160E7" w:rsidRPr="00962C17" w:rsidRDefault="004160E7" w:rsidP="004160E7">
      <w:pPr>
        <w:pStyle w:val="Zkladntext"/>
        <w:tabs>
          <w:tab w:val="left" w:pos="1134"/>
        </w:tabs>
        <w:spacing w:before="120"/>
        <w:jc w:val="both"/>
        <w:rPr>
          <w:rFonts w:asciiTheme="minorHAnsi" w:hAnsiTheme="minorHAnsi"/>
          <w:sz w:val="22"/>
          <w:szCs w:val="22"/>
        </w:rPr>
      </w:pP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lastRenderedPageBreak/>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w:t>
      </w:r>
      <w:r w:rsidRPr="00FD7A2F">
        <w:rPr>
          <w:rFonts w:asciiTheme="minorHAnsi" w:hAnsiTheme="minorHAnsi"/>
          <w:sz w:val="22"/>
          <w:szCs w:val="22"/>
        </w:rPr>
        <w:lastRenderedPageBreak/>
        <w:t>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BA3622"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BA3622" w:rsidRPr="004459D0" w:rsidRDefault="00BA3622" w:rsidP="00BA3622">
      <w:pPr>
        <w:pStyle w:val="p1"/>
        <w:numPr>
          <w:ilvl w:val="0"/>
          <w:numId w:val="0"/>
        </w:numPr>
        <w:adjustRightInd/>
        <w:spacing w:line="240" w:lineRule="auto"/>
        <w:ind w:left="284"/>
        <w:textAlignment w:val="auto"/>
        <w:rPr>
          <w:rFonts w:asciiTheme="minorHAnsi" w:hAnsiTheme="minorHAnsi" w:cs="Arial"/>
          <w:snapToGrid w:val="0"/>
          <w:sz w:val="22"/>
          <w:szCs w:val="22"/>
        </w:rPr>
      </w:pP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81" w:rsidRDefault="00CE5381">
      <w:r>
        <w:separator/>
      </w:r>
    </w:p>
  </w:endnote>
  <w:endnote w:type="continuationSeparator" w:id="0">
    <w:p w:rsidR="00CE5381" w:rsidRDefault="00CE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9331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9331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81" w:rsidRDefault="00CE5381">
      <w:r>
        <w:separator/>
      </w:r>
    </w:p>
  </w:footnote>
  <w:footnote w:type="continuationSeparator" w:id="0">
    <w:p w:rsidR="00CE5381" w:rsidRDefault="00CE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14EBA"/>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76375"/>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26C"/>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0E7"/>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870EB"/>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373B"/>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332"/>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3E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1075"/>
    <w:rsid w:val="00852321"/>
    <w:rsid w:val="0085547F"/>
    <w:rsid w:val="00860A0C"/>
    <w:rsid w:val="0086153A"/>
    <w:rsid w:val="008628B3"/>
    <w:rsid w:val="00863234"/>
    <w:rsid w:val="008644B9"/>
    <w:rsid w:val="008718A3"/>
    <w:rsid w:val="00872C90"/>
    <w:rsid w:val="008831A5"/>
    <w:rsid w:val="0088456F"/>
    <w:rsid w:val="008858B8"/>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9F4074"/>
    <w:rsid w:val="00A00213"/>
    <w:rsid w:val="00A02E20"/>
    <w:rsid w:val="00A0520C"/>
    <w:rsid w:val="00A07D22"/>
    <w:rsid w:val="00A12D46"/>
    <w:rsid w:val="00A134B0"/>
    <w:rsid w:val="00A14755"/>
    <w:rsid w:val="00A20374"/>
    <w:rsid w:val="00A22978"/>
    <w:rsid w:val="00A22F09"/>
    <w:rsid w:val="00A265A8"/>
    <w:rsid w:val="00A3347F"/>
    <w:rsid w:val="00A339F8"/>
    <w:rsid w:val="00A356A8"/>
    <w:rsid w:val="00A3720B"/>
    <w:rsid w:val="00A37972"/>
    <w:rsid w:val="00A4085B"/>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4D81"/>
    <w:rsid w:val="00B55392"/>
    <w:rsid w:val="00B55B95"/>
    <w:rsid w:val="00B55CEE"/>
    <w:rsid w:val="00B7141B"/>
    <w:rsid w:val="00B729D3"/>
    <w:rsid w:val="00B72C4A"/>
    <w:rsid w:val="00B733FB"/>
    <w:rsid w:val="00B75816"/>
    <w:rsid w:val="00B77B1D"/>
    <w:rsid w:val="00B81CDD"/>
    <w:rsid w:val="00B84032"/>
    <w:rsid w:val="00B85A62"/>
    <w:rsid w:val="00B91D4C"/>
    <w:rsid w:val="00B93DE5"/>
    <w:rsid w:val="00B949BA"/>
    <w:rsid w:val="00B95CE4"/>
    <w:rsid w:val="00B96E2C"/>
    <w:rsid w:val="00BA15AA"/>
    <w:rsid w:val="00BA3622"/>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3319"/>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4E3C"/>
    <w:rsid w:val="00CD63FE"/>
    <w:rsid w:val="00CE0BD2"/>
    <w:rsid w:val="00CE0DD7"/>
    <w:rsid w:val="00CE4245"/>
    <w:rsid w:val="00CE5381"/>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21CE"/>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9F9"/>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owrap">
    <w:name w:val="nowrap"/>
    <w:basedOn w:val="Standardnpsmoodstavce"/>
    <w:rsid w:val="007F5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nowrap">
    <w:name w:val="nowrap"/>
    <w:basedOn w:val="Standardnpsmoodstavce"/>
    <w:rsid w:val="007F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94749805">
      <w:bodyDiv w:val="1"/>
      <w:marLeft w:val="0"/>
      <w:marRight w:val="0"/>
      <w:marTop w:val="0"/>
      <w:marBottom w:val="0"/>
      <w:divBdr>
        <w:top w:val="none" w:sz="0" w:space="0" w:color="auto"/>
        <w:left w:val="none" w:sz="0" w:space="0" w:color="auto"/>
        <w:bottom w:val="none" w:sz="0" w:space="0" w:color="auto"/>
        <w:right w:val="none" w:sz="0" w:space="0" w:color="auto"/>
      </w:divBdr>
      <w:divsChild>
        <w:div w:id="2017229568">
          <w:marLeft w:val="0"/>
          <w:marRight w:val="0"/>
          <w:marTop w:val="0"/>
          <w:marBottom w:val="0"/>
          <w:divBdr>
            <w:top w:val="none" w:sz="0" w:space="0" w:color="auto"/>
            <w:left w:val="none" w:sz="0" w:space="0" w:color="auto"/>
            <w:bottom w:val="none" w:sz="0" w:space="0" w:color="auto"/>
            <w:right w:val="none" w:sz="0" w:space="0" w:color="auto"/>
          </w:divBdr>
          <w:divsChild>
            <w:div w:id="1294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9679-E24D-4B4B-A4F8-BF9B6504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3316</Words>
  <Characters>19568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2017-06-05T11:40:00Z</cp:lastPrinted>
  <dcterms:created xsi:type="dcterms:W3CDTF">2017-08-15T11:56:00Z</dcterms:created>
  <dcterms:modified xsi:type="dcterms:W3CDTF">2017-08-15T11:56:00Z</dcterms:modified>
</cp:coreProperties>
</file>