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5AF8961C"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002714">
              <w:rPr>
                <w:sz w:val="24"/>
                <w:szCs w:val="24"/>
              </w:rPr>
              <w:t>5</w:t>
            </w:r>
            <w:r w:rsidRPr="006A6C9A">
              <w:rPr>
                <w:sz w:val="24"/>
                <w:szCs w:val="24"/>
              </w:rPr>
              <w:t>06</w:t>
            </w:r>
            <w:r w:rsidR="00513A63" w:rsidRPr="00513A63">
              <w:rPr>
                <w:sz w:val="24"/>
                <w:szCs w:val="24"/>
              </w:rPr>
              <w:t>1616</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156EDF4" w14:textId="225F33F6" w:rsidR="00C625E5" w:rsidRDefault="00040A75" w:rsidP="00C625E5">
      <w:pPr>
        <w:jc w:val="both"/>
        <w:rPr>
          <w:sz w:val="24"/>
          <w:szCs w:val="24"/>
        </w:rPr>
      </w:pPr>
      <w:r>
        <w:rPr>
          <w:sz w:val="24"/>
          <w:szCs w:val="24"/>
        </w:rPr>
        <w:t>XXXXXXXXXXXXXXXXXXXXXXXXXXXXXXXX</w:t>
      </w:r>
    </w:p>
    <w:p w14:paraId="2A450785" w14:textId="77777777" w:rsidR="00040A75" w:rsidRDefault="00040A75" w:rsidP="00040A75">
      <w:pPr>
        <w:jc w:val="both"/>
        <w:rPr>
          <w:sz w:val="24"/>
          <w:szCs w:val="24"/>
        </w:rPr>
      </w:pPr>
      <w:r>
        <w:rPr>
          <w:sz w:val="24"/>
          <w:szCs w:val="24"/>
        </w:rPr>
        <w:t>XXXXXXXXXXXXXXXXXXXXXXXXXXXXXXXX</w:t>
      </w: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572BC89D"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513A63" w:rsidRPr="00513A63">
        <w:rPr>
          <w:rFonts w:ascii="Times New Roman" w:hAnsi="Times New Roman"/>
          <w:b w:val="0"/>
          <w:bCs w:val="0"/>
          <w:snapToGrid w:val="0"/>
          <w:color w:val="auto"/>
          <w:sz w:val="24"/>
          <w:szCs w:val="20"/>
        </w:rPr>
        <w:t>346, 385/1 obec Brno, katastrální území Chrlice, zapsaných na listu vlastnictví 10001 pro katastrální území Chrlice</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59BD46A5"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proofErr w:type="spellStart"/>
      <w:r w:rsidR="00513A63" w:rsidRPr="00513A63">
        <w:rPr>
          <w:rFonts w:ascii="Times New Roman" w:hAnsi="Times New Roman"/>
          <w:b w:val="0"/>
          <w:bCs w:val="0"/>
          <w:snapToGrid w:val="0"/>
          <w:color w:val="auto"/>
          <w:sz w:val="24"/>
          <w:szCs w:val="20"/>
        </w:rPr>
        <w:t>Reko</w:t>
      </w:r>
      <w:proofErr w:type="spellEnd"/>
      <w:r w:rsidR="00513A63" w:rsidRPr="00513A63">
        <w:rPr>
          <w:rFonts w:ascii="Times New Roman" w:hAnsi="Times New Roman"/>
          <w:b w:val="0"/>
          <w:bCs w:val="0"/>
          <w:snapToGrid w:val="0"/>
          <w:color w:val="auto"/>
          <w:sz w:val="24"/>
          <w:szCs w:val="20"/>
        </w:rPr>
        <w:t xml:space="preserve"> MS Brno-Ctiradova</w:t>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7E47AAF3"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proofErr w:type="gramStart"/>
      <w:r w:rsidR="00513A63" w:rsidRPr="00513A63">
        <w:rPr>
          <w:rFonts w:ascii="Times New Roman" w:hAnsi="Times New Roman"/>
          <w:b w:val="0"/>
          <w:bCs w:val="0"/>
          <w:snapToGrid w:val="0"/>
          <w:color w:val="auto"/>
          <w:sz w:val="24"/>
          <w:szCs w:val="20"/>
        </w:rPr>
        <w:t>geometrickým  plánem</w:t>
      </w:r>
      <w:proofErr w:type="gramEnd"/>
      <w:r w:rsidR="00513A63" w:rsidRPr="00513A63">
        <w:rPr>
          <w:rFonts w:ascii="Times New Roman" w:hAnsi="Times New Roman"/>
          <w:b w:val="0"/>
          <w:bCs w:val="0"/>
          <w:snapToGrid w:val="0"/>
          <w:color w:val="auto"/>
          <w:sz w:val="24"/>
          <w:szCs w:val="20"/>
        </w:rPr>
        <w:t xml:space="preserve"> č. 2451-6026/2024 ze dne 21.10.2024 vyhotovenými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7371C4">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Geometrick</w:t>
      </w:r>
      <w:r w:rsidR="007371C4">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j</w:t>
      </w:r>
      <w:r w:rsidR="007371C4">
        <w:rPr>
          <w:rFonts w:ascii="Times New Roman" w:hAnsi="Times New Roman"/>
          <w:b w:val="0"/>
          <w:bCs w:val="0"/>
          <w:snapToGrid w:val="0"/>
          <w:color w:val="auto"/>
          <w:sz w:val="24"/>
          <w:szCs w:val="20"/>
        </w:rPr>
        <w:t>e</w:t>
      </w:r>
      <w:r w:rsidRPr="00816055">
        <w:rPr>
          <w:rFonts w:ascii="Times New Roman" w:hAnsi="Times New Roman"/>
          <w:b w:val="0"/>
          <w:bCs w:val="0"/>
          <w:snapToGrid w:val="0"/>
          <w:color w:val="auto"/>
          <w:sz w:val="24"/>
          <w:szCs w:val="20"/>
        </w:rPr>
        <w:t xml:space="preserve"> přílohou a nedílnou součástí této smlouvy.</w:t>
      </w:r>
    </w:p>
    <w:p w14:paraId="44BB9989" w14:textId="5A03B4E6" w:rsidR="00F43696" w:rsidRPr="007371C4" w:rsidRDefault="003B7E2B" w:rsidP="007371C4">
      <w:pPr>
        <w:pStyle w:val="Nadpis2"/>
        <w:keepNext w:val="0"/>
        <w:jc w:val="both"/>
        <w:rPr>
          <w:rFonts w:ascii="Times New Roman" w:hAnsi="Times New Roman"/>
          <w:b w:val="0"/>
          <w:bCs w:val="0"/>
          <w:snapToGrid w:val="0"/>
          <w:color w:val="auto"/>
          <w:sz w:val="24"/>
          <w:szCs w:val="20"/>
        </w:rPr>
      </w:pPr>
      <w:r w:rsidRPr="007371C4">
        <w:rPr>
          <w:rFonts w:ascii="Times New Roman" w:hAnsi="Times New Roman"/>
          <w:b w:val="0"/>
          <w:bCs w:val="0"/>
          <w:snapToGrid w:val="0"/>
          <w:color w:val="auto"/>
          <w:sz w:val="24"/>
          <w:szCs w:val="20"/>
        </w:rPr>
        <w:t>Výměra služebnosti dle geometrick</w:t>
      </w:r>
      <w:r w:rsidR="007371C4" w:rsidRPr="007371C4">
        <w:rPr>
          <w:rFonts w:ascii="Times New Roman" w:hAnsi="Times New Roman"/>
          <w:b w:val="0"/>
          <w:bCs w:val="0"/>
          <w:snapToGrid w:val="0"/>
          <w:color w:val="auto"/>
          <w:sz w:val="24"/>
          <w:szCs w:val="20"/>
        </w:rPr>
        <w:t>ého</w:t>
      </w:r>
      <w:r w:rsidRPr="007371C4">
        <w:rPr>
          <w:rFonts w:ascii="Times New Roman" w:hAnsi="Times New Roman"/>
          <w:b w:val="0"/>
          <w:bCs w:val="0"/>
          <w:snapToGrid w:val="0"/>
          <w:color w:val="auto"/>
          <w:sz w:val="24"/>
          <w:szCs w:val="20"/>
        </w:rPr>
        <w:t xml:space="preserve"> plán</w:t>
      </w:r>
      <w:r w:rsidR="007371C4" w:rsidRPr="007371C4">
        <w:rPr>
          <w:rFonts w:ascii="Times New Roman" w:hAnsi="Times New Roman"/>
          <w:b w:val="0"/>
          <w:bCs w:val="0"/>
          <w:snapToGrid w:val="0"/>
          <w:color w:val="auto"/>
          <w:sz w:val="24"/>
          <w:szCs w:val="20"/>
        </w:rPr>
        <w:t>u</w:t>
      </w:r>
      <w:r w:rsidRPr="007371C4">
        <w:rPr>
          <w:rFonts w:ascii="Times New Roman" w:hAnsi="Times New Roman"/>
          <w:b w:val="0"/>
          <w:bCs w:val="0"/>
          <w:snapToGrid w:val="0"/>
          <w:color w:val="auto"/>
          <w:sz w:val="24"/>
          <w:szCs w:val="20"/>
        </w:rPr>
        <w:t xml:space="preserve"> na služebn</w:t>
      </w:r>
      <w:r w:rsidR="006F05CA" w:rsidRPr="007371C4">
        <w:rPr>
          <w:rFonts w:ascii="Times New Roman" w:hAnsi="Times New Roman"/>
          <w:b w:val="0"/>
          <w:bCs w:val="0"/>
          <w:snapToGrid w:val="0"/>
          <w:color w:val="auto"/>
          <w:sz w:val="24"/>
          <w:szCs w:val="20"/>
        </w:rPr>
        <w:t>ých pozemcích</w:t>
      </w:r>
      <w:r w:rsidR="00934736" w:rsidRPr="007371C4">
        <w:rPr>
          <w:rFonts w:ascii="Times New Roman" w:hAnsi="Times New Roman"/>
          <w:b w:val="0"/>
          <w:bCs w:val="0"/>
          <w:snapToGrid w:val="0"/>
          <w:color w:val="auto"/>
          <w:sz w:val="24"/>
          <w:szCs w:val="20"/>
        </w:rPr>
        <w:t xml:space="preserve"> </w:t>
      </w:r>
      <w:r w:rsidRPr="007371C4">
        <w:rPr>
          <w:rFonts w:ascii="Times New Roman" w:hAnsi="Times New Roman"/>
          <w:b w:val="0"/>
          <w:bCs w:val="0"/>
          <w:snapToGrid w:val="0"/>
          <w:color w:val="auto"/>
          <w:sz w:val="24"/>
          <w:szCs w:val="20"/>
        </w:rPr>
        <w:t>v k. </w:t>
      </w:r>
      <w:proofErr w:type="spellStart"/>
      <w:r w:rsidRPr="007371C4">
        <w:rPr>
          <w:rFonts w:ascii="Times New Roman" w:hAnsi="Times New Roman"/>
          <w:b w:val="0"/>
          <w:bCs w:val="0"/>
          <w:snapToGrid w:val="0"/>
          <w:color w:val="auto"/>
          <w:sz w:val="24"/>
          <w:szCs w:val="20"/>
        </w:rPr>
        <w:t>ú.</w:t>
      </w:r>
      <w:proofErr w:type="spellEnd"/>
      <w:r w:rsidRPr="007371C4">
        <w:rPr>
          <w:rFonts w:ascii="Times New Roman" w:hAnsi="Times New Roman"/>
          <w:b w:val="0"/>
          <w:bCs w:val="0"/>
          <w:snapToGrid w:val="0"/>
          <w:color w:val="auto"/>
          <w:sz w:val="24"/>
          <w:szCs w:val="20"/>
        </w:rPr>
        <w:t> </w:t>
      </w:r>
      <w:r w:rsidR="00513A63" w:rsidRPr="00513A63">
        <w:rPr>
          <w:rFonts w:ascii="Times New Roman" w:hAnsi="Times New Roman"/>
          <w:b w:val="0"/>
          <w:bCs w:val="0"/>
          <w:snapToGrid w:val="0"/>
          <w:color w:val="auto"/>
          <w:sz w:val="24"/>
          <w:szCs w:val="20"/>
        </w:rPr>
        <w:t xml:space="preserve">Chrlice činí na </w:t>
      </w:r>
      <w:proofErr w:type="spellStart"/>
      <w:r w:rsidR="00513A63" w:rsidRPr="00513A63">
        <w:rPr>
          <w:rFonts w:ascii="Times New Roman" w:hAnsi="Times New Roman"/>
          <w:b w:val="0"/>
          <w:bCs w:val="0"/>
          <w:snapToGrid w:val="0"/>
          <w:color w:val="auto"/>
          <w:sz w:val="24"/>
          <w:szCs w:val="20"/>
        </w:rPr>
        <w:t>p.č</w:t>
      </w:r>
      <w:proofErr w:type="spellEnd"/>
      <w:r w:rsidR="00513A63" w:rsidRPr="00513A63">
        <w:rPr>
          <w:rFonts w:ascii="Times New Roman" w:hAnsi="Times New Roman"/>
          <w:b w:val="0"/>
          <w:bCs w:val="0"/>
          <w:snapToGrid w:val="0"/>
          <w:color w:val="auto"/>
          <w:sz w:val="24"/>
          <w:szCs w:val="20"/>
        </w:rPr>
        <w:t xml:space="preserve">. </w:t>
      </w:r>
      <w:proofErr w:type="gramStart"/>
      <w:r w:rsidR="00513A63" w:rsidRPr="00513A63">
        <w:rPr>
          <w:rFonts w:ascii="Times New Roman" w:hAnsi="Times New Roman"/>
          <w:b w:val="0"/>
          <w:bCs w:val="0"/>
          <w:snapToGrid w:val="0"/>
          <w:color w:val="auto"/>
          <w:sz w:val="24"/>
          <w:szCs w:val="20"/>
        </w:rPr>
        <w:t>346 - 82</w:t>
      </w:r>
      <w:proofErr w:type="gramEnd"/>
      <w:r w:rsidR="00513A63" w:rsidRPr="00513A63">
        <w:rPr>
          <w:rFonts w:ascii="Times New Roman" w:hAnsi="Times New Roman"/>
          <w:b w:val="0"/>
          <w:bCs w:val="0"/>
          <w:snapToGrid w:val="0"/>
          <w:color w:val="auto"/>
          <w:sz w:val="24"/>
          <w:szCs w:val="20"/>
        </w:rPr>
        <w:t>,91m², 385/1 - 979,54m² s jednotkovou cenou 91 Kč/m²</w:t>
      </w:r>
      <w:r w:rsidR="00562B97" w:rsidRPr="007371C4">
        <w:rPr>
          <w:rFonts w:ascii="Times New Roman" w:hAnsi="Times New Roman"/>
          <w:b w:val="0"/>
          <w:bCs w:val="0"/>
          <w:snapToGrid w:val="0"/>
          <w:color w:val="auto"/>
          <w:sz w:val="24"/>
          <w:szCs w:val="20"/>
        </w:rPr>
        <w:t>,</w:t>
      </w:r>
      <w:r w:rsidR="007371C4" w:rsidRPr="007371C4">
        <w:rPr>
          <w:rFonts w:ascii="Times New Roman" w:hAnsi="Times New Roman"/>
          <w:b w:val="0"/>
          <w:bCs w:val="0"/>
          <w:snapToGrid w:val="0"/>
          <w:color w:val="auto"/>
          <w:sz w:val="24"/>
          <w:szCs w:val="20"/>
        </w:rPr>
        <w:t xml:space="preserve"> </w:t>
      </w:r>
      <w:r w:rsidR="00AD03AB" w:rsidRPr="007371C4">
        <w:rPr>
          <w:rFonts w:ascii="Times New Roman" w:hAnsi="Times New Roman"/>
          <w:b w:val="0"/>
          <w:bCs w:val="0"/>
          <w:snapToGrid w:val="0"/>
          <w:color w:val="auto"/>
          <w:sz w:val="24"/>
          <w:szCs w:val="20"/>
        </w:rPr>
        <w:t>bez DPH.</w:t>
      </w:r>
    </w:p>
    <w:p w14:paraId="2E01080D" w14:textId="0BD4F0E8" w:rsidR="0024627E" w:rsidRPr="00885533" w:rsidRDefault="009A7AD6" w:rsidP="00F43696">
      <w:pPr>
        <w:pStyle w:val="Nadpis2"/>
        <w:keepNext w:val="0"/>
        <w:numPr>
          <w:ilvl w:val="0"/>
          <w:numId w:val="0"/>
        </w:numPr>
        <w:jc w:val="both"/>
        <w:rPr>
          <w:rFonts w:ascii="Times New Roman" w:hAnsi="Times New Roman"/>
          <w:b w:val="0"/>
          <w:bCs w:val="0"/>
          <w:snapToGrid w:val="0"/>
          <w:color w:val="auto"/>
          <w:sz w:val="24"/>
          <w:szCs w:val="20"/>
        </w:rPr>
      </w:pPr>
      <w:r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 xml:space="preserve">Celková výměra: </w:t>
      </w:r>
      <w:r w:rsidR="00513A63" w:rsidRPr="00513A63">
        <w:rPr>
          <w:rFonts w:ascii="Times New Roman" w:hAnsi="Times New Roman"/>
          <w:b w:val="0"/>
          <w:bCs w:val="0"/>
          <w:snapToGrid w:val="0"/>
          <w:color w:val="auto"/>
          <w:sz w:val="24"/>
          <w:szCs w:val="20"/>
        </w:rPr>
        <w:t>1062,45</w:t>
      </w:r>
      <w:r w:rsidR="00057492" w:rsidRPr="00885533">
        <w:rPr>
          <w:rFonts w:ascii="Times New Roman" w:hAnsi="Times New Roman"/>
          <w:b w:val="0"/>
          <w:bCs w:val="0"/>
          <w:snapToGrid w:val="0"/>
          <w:color w:val="auto"/>
          <w:sz w:val="24"/>
          <w:szCs w:val="20"/>
        </w:rPr>
        <w:t xml:space="preserve"> </w:t>
      </w:r>
      <w:r w:rsidR="003B7E2B" w:rsidRPr="00885533">
        <w:rPr>
          <w:rFonts w:ascii="Times New Roman" w:hAnsi="Times New Roman"/>
          <w:b w:val="0"/>
          <w:bCs w:val="0"/>
          <w:snapToGrid w:val="0"/>
          <w:color w:val="auto"/>
          <w:sz w:val="24"/>
          <w:szCs w:val="20"/>
        </w:rPr>
        <w:t>m</w:t>
      </w:r>
      <w:r w:rsidR="003B7E2B" w:rsidRPr="00562B97">
        <w:rPr>
          <w:rFonts w:ascii="Times New Roman" w:hAnsi="Times New Roman"/>
          <w:b w:val="0"/>
          <w:bCs w:val="0"/>
          <w:snapToGrid w:val="0"/>
          <w:color w:val="auto"/>
          <w:sz w:val="24"/>
          <w:szCs w:val="20"/>
        </w:rPr>
        <w:t>2</w:t>
      </w:r>
      <w:r w:rsidR="003B7E2B"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15C5562E"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8935AE">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8935AE">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44F00229"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513A63" w:rsidRPr="00513A63">
        <w:rPr>
          <w:rFonts w:ascii="Times New Roman" w:hAnsi="Times New Roman"/>
          <w:b w:val="0"/>
          <w:bCs w:val="0"/>
          <w:snapToGrid w:val="0"/>
          <w:color w:val="auto"/>
          <w:sz w:val="24"/>
          <w:szCs w:val="20"/>
        </w:rPr>
        <w:t>96 683 Kč bez DPH (</w:t>
      </w:r>
      <w:proofErr w:type="gramStart"/>
      <w:r w:rsidR="00513A63" w:rsidRPr="00513A63">
        <w:rPr>
          <w:rFonts w:ascii="Times New Roman" w:hAnsi="Times New Roman"/>
          <w:b w:val="0"/>
          <w:bCs w:val="0"/>
          <w:snapToGrid w:val="0"/>
          <w:color w:val="auto"/>
          <w:sz w:val="24"/>
          <w:szCs w:val="20"/>
        </w:rPr>
        <w:t>slovy  devadesát</w:t>
      </w:r>
      <w:proofErr w:type="gramEnd"/>
      <w:r w:rsidR="00513A63" w:rsidRPr="00513A63">
        <w:rPr>
          <w:rFonts w:ascii="Times New Roman" w:hAnsi="Times New Roman"/>
          <w:b w:val="0"/>
          <w:bCs w:val="0"/>
          <w:snapToGrid w:val="0"/>
          <w:color w:val="auto"/>
          <w:sz w:val="24"/>
          <w:szCs w:val="20"/>
        </w:rPr>
        <w:t xml:space="preserve"> šest tisíc šest set osmdesát tři korun českých). K ceně bude připočtena DPH dle obecně závazných právních předp</w:t>
      </w:r>
      <w:r w:rsidRPr="00816055">
        <w:rPr>
          <w:rFonts w:ascii="Times New Roman" w:hAnsi="Times New Roman"/>
          <w:b w:val="0"/>
          <w:snapToGrid w:val="0"/>
          <w:color w:val="auto"/>
          <w:sz w:val="24"/>
          <w:szCs w:val="24"/>
        </w:rPr>
        <w:t>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6C3112E3"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w:t>
      </w:r>
      <w:r w:rsidR="008935AE">
        <w:rPr>
          <w:rFonts w:ascii="Times New Roman" w:hAnsi="Times New Roman"/>
          <w:b w:val="0"/>
          <w:bCs w:val="0"/>
          <w:snapToGrid w:val="0"/>
          <w:color w:val="auto"/>
          <w:sz w:val="24"/>
          <w:szCs w:val="20"/>
        </w:rPr>
        <w:t>3</w:t>
      </w:r>
      <w:r w:rsidRPr="00816055">
        <w:rPr>
          <w:rFonts w:ascii="Times New Roman" w:hAnsi="Times New Roman"/>
          <w:b w:val="0"/>
          <w:bCs w:val="0"/>
          <w:snapToGrid w:val="0"/>
          <w:color w:val="auto"/>
          <w:sz w:val="24"/>
          <w:szCs w:val="20"/>
        </w:rPr>
        <w:t xml:space="preserve">0 dnů od </w:t>
      </w:r>
      <w:r w:rsidR="008935AE">
        <w:rPr>
          <w:rFonts w:ascii="Times New Roman" w:hAnsi="Times New Roman"/>
          <w:b w:val="0"/>
          <w:bCs w:val="0"/>
          <w:snapToGrid w:val="0"/>
          <w:color w:val="auto"/>
          <w:sz w:val="24"/>
          <w:szCs w:val="20"/>
        </w:rPr>
        <w:t xml:space="preserve">účinnosti </w:t>
      </w:r>
      <w:r w:rsidRPr="00816055">
        <w:rPr>
          <w:rFonts w:ascii="Times New Roman" w:hAnsi="Times New Roman"/>
          <w:b w:val="0"/>
          <w:bCs w:val="0"/>
          <w:snapToGrid w:val="0"/>
          <w:color w:val="auto"/>
          <w:sz w:val="24"/>
          <w:szCs w:val="20"/>
        </w:rPr>
        <w:t xml:space="preserve">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w:t>
      </w:r>
      <w:proofErr w:type="gramStart"/>
      <w:r w:rsidRPr="00816055">
        <w:rPr>
          <w:rFonts w:ascii="Times New Roman" w:hAnsi="Times New Roman"/>
          <w:b w:val="0"/>
          <w:color w:val="auto"/>
          <w:sz w:val="24"/>
          <w:szCs w:val="24"/>
        </w:rPr>
        <w:t>obdrží</w:t>
      </w:r>
      <w:proofErr w:type="gramEnd"/>
      <w:r w:rsidRPr="00816055">
        <w:rPr>
          <w:rFonts w:ascii="Times New Roman" w:hAnsi="Times New Roman"/>
          <w:b w:val="0"/>
          <w:color w:val="auto"/>
          <w:sz w:val="24"/>
          <w:szCs w:val="24"/>
        </w:rPr>
        <w:t xml:space="preserve">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009470B5"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lastRenderedPageBreak/>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7CDFC636" w14:textId="77777777" w:rsidR="00FC4F08" w:rsidRPr="002D5419" w:rsidRDefault="00FC4F08" w:rsidP="00FC4F08">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 xml:space="preserve">7 a na </w:t>
      </w:r>
      <w:r w:rsidRPr="00CF6671">
        <w:rPr>
          <w:bCs/>
          <w:color w:val="auto"/>
        </w:rPr>
        <w:t>R</w:t>
      </w:r>
      <w:r>
        <w:rPr>
          <w:bCs/>
          <w:color w:val="auto"/>
        </w:rPr>
        <w:t>9</w:t>
      </w:r>
      <w:r w:rsidRPr="00CF6671">
        <w:rPr>
          <w:bCs/>
          <w:color w:val="auto"/>
        </w:rPr>
        <w:t>/</w:t>
      </w:r>
      <w:r>
        <w:rPr>
          <w:bCs/>
          <w:color w:val="auto"/>
        </w:rPr>
        <w:t>007</w:t>
      </w:r>
      <w:r w:rsidRPr="00CF6671">
        <w:rPr>
          <w:bCs/>
          <w:color w:val="auto"/>
        </w:rPr>
        <w:t>. schůzi konané</w:t>
      </w:r>
      <w:r w:rsidRPr="00C30888">
        <w:rPr>
          <w:bCs/>
          <w:color w:val="auto"/>
        </w:rPr>
        <w:t xml:space="preserve"> dne</w:t>
      </w:r>
      <w:r>
        <w:rPr>
          <w:bCs/>
          <w:color w:val="auto"/>
        </w:rPr>
        <w:t> 30</w:t>
      </w:r>
      <w:r w:rsidRPr="00C30888">
        <w:rPr>
          <w:bCs/>
          <w:color w:val="auto"/>
        </w:rPr>
        <w:t>.</w:t>
      </w:r>
      <w:r>
        <w:rPr>
          <w:bCs/>
          <w:color w:val="auto"/>
        </w:rPr>
        <w:t>11</w:t>
      </w:r>
      <w:r w:rsidRPr="00C30888">
        <w:rPr>
          <w:bCs/>
          <w:color w:val="auto"/>
        </w:rPr>
        <w:t>.20</w:t>
      </w:r>
      <w:r>
        <w:rPr>
          <w:bCs/>
          <w:color w:val="auto"/>
        </w:rPr>
        <w:t>22</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7FDF346C" w:rsidR="003B7E2B" w:rsidRPr="00816055" w:rsidRDefault="003B7E2B" w:rsidP="00DD388F">
            <w:pPr>
              <w:pStyle w:val="Zkladntext"/>
              <w:keepNext/>
              <w:keepLines/>
              <w:widowControl/>
              <w:jc w:val="both"/>
              <w:rPr>
                <w:color w:val="auto"/>
                <w:sz w:val="20"/>
              </w:rPr>
            </w:pPr>
            <w:r w:rsidRPr="00816055">
              <w:rPr>
                <w:color w:val="auto"/>
              </w:rPr>
              <w:t>V Brně dne</w:t>
            </w:r>
            <w:proofErr w:type="gramStart"/>
            <w:r w:rsidRPr="00816055">
              <w:rPr>
                <w:color w:val="auto"/>
              </w:rPr>
              <w:t xml:space="preserve"> ....</w:t>
            </w:r>
            <w:proofErr w:type="gramEnd"/>
            <w:r w:rsidR="00513A63">
              <w:rPr>
                <w:color w:val="auto"/>
              </w:rPr>
              <w:t>28.4.2025</w:t>
            </w:r>
            <w:r w:rsidRPr="00816055">
              <w:rPr>
                <w:color w:val="auto"/>
              </w:rPr>
              <w:t>.................</w:t>
            </w:r>
          </w:p>
        </w:tc>
        <w:tc>
          <w:tcPr>
            <w:tcW w:w="4512" w:type="dxa"/>
            <w:vAlign w:val="bottom"/>
          </w:tcPr>
          <w:p w14:paraId="048ED0C5" w14:textId="547F4BA0"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dne......</w:t>
            </w:r>
            <w:r w:rsidR="00513A63">
              <w:rPr>
                <w:color w:val="auto"/>
              </w:rPr>
              <w:t>28.3.2025</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9E1DD2" w:rsidRPr="00816055" w14:paraId="369780E5" w14:textId="77777777" w:rsidTr="002F49D8">
        <w:tc>
          <w:tcPr>
            <w:tcW w:w="4443" w:type="dxa"/>
          </w:tcPr>
          <w:p w14:paraId="01AA581E" w14:textId="6842AC83" w:rsidR="009E1DD2" w:rsidRPr="00816055" w:rsidRDefault="009E1DD2" w:rsidP="009E1DD2">
            <w:pPr>
              <w:keepNext/>
              <w:keepLines/>
              <w:snapToGrid w:val="0"/>
              <w:jc w:val="center"/>
              <w:rPr>
                <w:bCs/>
                <w:snapToGrid w:val="0"/>
                <w:sz w:val="24"/>
              </w:rPr>
            </w:pPr>
            <w:r w:rsidRPr="00816055">
              <w:rPr>
                <w:bCs/>
                <w:snapToGrid w:val="0"/>
                <w:sz w:val="24"/>
              </w:rPr>
              <w:t xml:space="preserve">Ing. </w:t>
            </w:r>
            <w:r>
              <w:rPr>
                <w:bCs/>
                <w:snapToGrid w:val="0"/>
                <w:sz w:val="24"/>
              </w:rPr>
              <w:t>Tomáš Pivec. MBA</w:t>
            </w:r>
          </w:p>
        </w:tc>
        <w:tc>
          <w:tcPr>
            <w:tcW w:w="4512" w:type="dxa"/>
          </w:tcPr>
          <w:p w14:paraId="7F032460" w14:textId="7170235D" w:rsidR="009E1DD2" w:rsidRPr="00816055" w:rsidRDefault="00040A75" w:rsidP="009E1DD2">
            <w:pPr>
              <w:pStyle w:val="Zkladntext"/>
              <w:keepNext/>
              <w:keepLines/>
              <w:widowControl/>
              <w:jc w:val="center"/>
              <w:rPr>
                <w:color w:val="auto"/>
                <w:szCs w:val="24"/>
              </w:rPr>
            </w:pPr>
            <w:r>
              <w:rPr>
                <w:color w:val="auto"/>
                <w:szCs w:val="24"/>
              </w:rPr>
              <w:t>XXXXXXXXXXXXXX</w:t>
            </w:r>
          </w:p>
        </w:tc>
      </w:tr>
      <w:tr w:rsidR="009E1DD2" w:rsidRPr="00816055" w14:paraId="4FA1C655" w14:textId="77777777" w:rsidTr="002F49D8">
        <w:tc>
          <w:tcPr>
            <w:tcW w:w="4443" w:type="dxa"/>
          </w:tcPr>
          <w:p w14:paraId="6D38A688" w14:textId="77777777" w:rsidR="009E1DD2" w:rsidRPr="002C1389" w:rsidRDefault="009E1DD2" w:rsidP="009E1DD2">
            <w:pPr>
              <w:keepNext/>
              <w:keepLines/>
              <w:snapToGrid w:val="0"/>
              <w:jc w:val="center"/>
              <w:rPr>
                <w:bCs/>
                <w:snapToGrid w:val="0"/>
                <w:sz w:val="24"/>
              </w:rPr>
            </w:pPr>
            <w:r w:rsidRPr="002C1389">
              <w:rPr>
                <w:bCs/>
                <w:snapToGrid w:val="0"/>
                <w:sz w:val="24"/>
              </w:rPr>
              <w:t>vedoucí Odboru investičního</w:t>
            </w:r>
          </w:p>
          <w:p w14:paraId="3159AB57" w14:textId="77777777" w:rsidR="009E1DD2" w:rsidRPr="002C1389" w:rsidRDefault="009E1DD2" w:rsidP="009E1DD2">
            <w:pPr>
              <w:keepNext/>
              <w:keepLines/>
              <w:snapToGrid w:val="0"/>
              <w:jc w:val="center"/>
              <w:rPr>
                <w:bCs/>
                <w:snapToGrid w:val="0"/>
                <w:sz w:val="24"/>
              </w:rPr>
            </w:pPr>
            <w:r w:rsidRPr="002C1389">
              <w:rPr>
                <w:bCs/>
                <w:snapToGrid w:val="0"/>
                <w:sz w:val="24"/>
              </w:rPr>
              <w:t>Magistrátu města Brna</w:t>
            </w:r>
          </w:p>
        </w:tc>
        <w:tc>
          <w:tcPr>
            <w:tcW w:w="4512" w:type="dxa"/>
          </w:tcPr>
          <w:p w14:paraId="580EECDD" w14:textId="221E7A81" w:rsidR="009E1DD2" w:rsidRPr="00816055" w:rsidRDefault="00040A75" w:rsidP="009E1DD2">
            <w:pPr>
              <w:keepNext/>
              <w:keepLines/>
              <w:jc w:val="center"/>
              <w:rPr>
                <w:rStyle w:val="Nadpis1Char"/>
                <w:rFonts w:ascii="Times New Roman" w:hAnsi="Times New Roman"/>
                <w:b w:val="0"/>
                <w:bCs w:val="0"/>
                <w:color w:val="auto"/>
                <w:sz w:val="24"/>
                <w:szCs w:val="24"/>
              </w:rPr>
            </w:pPr>
            <w:r>
              <w:t>XXXXXXXXXXXXXXXXXXXXXXX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040A75" w:rsidRPr="00816055" w14:paraId="0148C694" w14:textId="77777777" w:rsidTr="002F49D8">
        <w:tc>
          <w:tcPr>
            <w:tcW w:w="4443" w:type="dxa"/>
          </w:tcPr>
          <w:p w14:paraId="113214A9" w14:textId="77777777" w:rsidR="00040A75" w:rsidRPr="00816055" w:rsidRDefault="00040A75" w:rsidP="00040A75">
            <w:pPr>
              <w:pStyle w:val="Texttabulky"/>
              <w:keepNext/>
              <w:keepLines/>
              <w:widowControl/>
              <w:jc w:val="center"/>
              <w:rPr>
                <w:color w:val="auto"/>
                <w:sz w:val="20"/>
              </w:rPr>
            </w:pPr>
          </w:p>
        </w:tc>
        <w:tc>
          <w:tcPr>
            <w:tcW w:w="4512" w:type="dxa"/>
          </w:tcPr>
          <w:p w14:paraId="494F464D" w14:textId="3C944CCE" w:rsidR="00040A75" w:rsidRPr="00816055" w:rsidRDefault="00040A75" w:rsidP="00040A75">
            <w:pPr>
              <w:pStyle w:val="Zkladntext"/>
              <w:keepNext/>
              <w:keepLines/>
              <w:widowControl/>
              <w:jc w:val="center"/>
              <w:rPr>
                <w:color w:val="auto"/>
                <w:szCs w:val="24"/>
              </w:rPr>
            </w:pPr>
            <w:r>
              <w:rPr>
                <w:color w:val="auto"/>
                <w:szCs w:val="24"/>
              </w:rPr>
              <w:t>XXXXXXXXXXXXXX</w:t>
            </w:r>
          </w:p>
        </w:tc>
      </w:tr>
      <w:tr w:rsidR="00040A75" w:rsidRPr="00816055" w14:paraId="003CE1B7" w14:textId="77777777" w:rsidTr="002F49D8">
        <w:tc>
          <w:tcPr>
            <w:tcW w:w="4443" w:type="dxa"/>
          </w:tcPr>
          <w:p w14:paraId="5FF6BDA2" w14:textId="77777777" w:rsidR="00040A75" w:rsidRPr="00816055" w:rsidRDefault="00040A75" w:rsidP="00040A75">
            <w:pPr>
              <w:pStyle w:val="Texttabulky"/>
              <w:keepNext/>
              <w:keepLines/>
              <w:widowControl/>
              <w:jc w:val="center"/>
              <w:rPr>
                <w:color w:val="auto"/>
                <w:sz w:val="20"/>
              </w:rPr>
            </w:pPr>
          </w:p>
        </w:tc>
        <w:tc>
          <w:tcPr>
            <w:tcW w:w="4512" w:type="dxa"/>
          </w:tcPr>
          <w:p w14:paraId="17D5CD97" w14:textId="3796A603" w:rsidR="00040A75" w:rsidRPr="00816055" w:rsidRDefault="00040A75" w:rsidP="00040A75">
            <w:pPr>
              <w:keepNext/>
              <w:keepLines/>
              <w:jc w:val="center"/>
              <w:rPr>
                <w:rStyle w:val="Nadpis1Char"/>
                <w:rFonts w:ascii="Times New Roman" w:hAnsi="Times New Roman"/>
                <w:b w:val="0"/>
                <w:bCs w:val="0"/>
                <w:color w:val="auto"/>
                <w:sz w:val="24"/>
                <w:szCs w:val="24"/>
              </w:rPr>
            </w:pPr>
            <w:r>
              <w:t>XXXXXXXXXXXXXXXXXXXXXXX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AD81" w14:textId="77777777" w:rsidR="000F351F" w:rsidRDefault="000F351F">
      <w:r>
        <w:separator/>
      </w:r>
    </w:p>
  </w:endnote>
  <w:endnote w:type="continuationSeparator" w:id="0">
    <w:p w14:paraId="7C6B1F0E" w14:textId="77777777" w:rsidR="000F351F" w:rsidRDefault="000F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7880" w14:textId="77777777" w:rsidR="000F351F" w:rsidRDefault="000F351F">
      <w:r>
        <w:separator/>
      </w:r>
    </w:p>
  </w:footnote>
  <w:footnote w:type="continuationSeparator" w:id="0">
    <w:p w14:paraId="74C75346" w14:textId="77777777" w:rsidR="000F351F" w:rsidRDefault="000F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4D2" w14:textId="32B9B779" w:rsidR="00C37845" w:rsidRDefault="00513A63">
    <w:pPr>
      <w:pStyle w:val="Zhlav"/>
      <w:tabs>
        <w:tab w:val="center" w:pos="4536"/>
        <w:tab w:val="right" w:pos="8931"/>
      </w:tabs>
      <w:rPr>
        <w:rStyle w:val="slostrnky"/>
        <w:sz w:val="20"/>
      </w:rPr>
    </w:pPr>
    <w:r w:rsidRPr="00513A63">
      <w:rPr>
        <w:rStyle w:val="slostrnky"/>
        <w:sz w:val="20"/>
      </w:rPr>
      <w:t>GasNet_vb25 1616 - Ctiradova</w:t>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002714">
      <w:rPr>
        <w:rStyle w:val="slostrnky"/>
        <w:sz w:val="20"/>
      </w:rPr>
      <w:t>5</w:t>
    </w:r>
    <w:r w:rsidR="000A7820" w:rsidRPr="000A7820">
      <w:rPr>
        <w:rStyle w:val="slostrnky"/>
        <w:sz w:val="20"/>
      </w:rPr>
      <w:t>0</w:t>
    </w:r>
    <w:r w:rsidR="00002714">
      <w:rPr>
        <w:rStyle w:val="slostrnky"/>
        <w:sz w:val="20"/>
      </w:rPr>
      <w:t>6</w:t>
    </w:r>
    <w:r w:rsidR="00EC6F43">
      <w:rPr>
        <w:rStyle w:val="slostrnky"/>
        <w:sz w:val="20"/>
      </w:rPr>
      <w:t>1616</w:t>
    </w:r>
  </w:p>
  <w:p w14:paraId="244A96B2" w14:textId="35B6FB1C"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002714">
      <w:rPr>
        <w:rStyle w:val="slostrnky"/>
        <w:sz w:val="20"/>
      </w:rPr>
      <w:t>3</w:t>
    </w:r>
    <w:r w:rsidR="004744A8">
      <w:rPr>
        <w:rStyle w:val="slostrnky"/>
        <w:sz w:val="20"/>
      </w:rPr>
      <w:t>609</w:t>
    </w:r>
    <w:r w:rsidR="00873303">
      <w:rPr>
        <w:rStyle w:val="slostrnky"/>
        <w:sz w:val="20"/>
      </w:rPr>
      <w:t>_</w:t>
    </w:r>
    <w:r w:rsidR="004744A8">
      <w:rPr>
        <w:rStyle w:val="slostrnky"/>
        <w:sz w:val="20"/>
      </w:rPr>
      <w:t>2</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741DF4"/>
    <w:multiLevelType w:val="hybridMultilevel"/>
    <w:tmpl w:val="188AD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6372D5"/>
    <w:multiLevelType w:val="hybridMultilevel"/>
    <w:tmpl w:val="337A2BD0"/>
    <w:lvl w:ilvl="0" w:tplc="232EDF0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8"/>
  </w:num>
  <w:num w:numId="8" w16cid:durableId="259024186">
    <w:abstractNumId w:val="2"/>
  </w:num>
  <w:num w:numId="9" w16cid:durableId="178937829">
    <w:abstractNumId w:val="2"/>
  </w:num>
  <w:num w:numId="10" w16cid:durableId="130442005">
    <w:abstractNumId w:val="6"/>
  </w:num>
  <w:num w:numId="11" w16cid:durableId="1102844929">
    <w:abstractNumId w:val="7"/>
  </w:num>
  <w:num w:numId="12" w16cid:durableId="122972419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2714"/>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3482"/>
    <w:rsid w:val="000334FF"/>
    <w:rsid w:val="0003549F"/>
    <w:rsid w:val="00037F5E"/>
    <w:rsid w:val="00040A75"/>
    <w:rsid w:val="00041DEB"/>
    <w:rsid w:val="000429C9"/>
    <w:rsid w:val="00044F2D"/>
    <w:rsid w:val="00046FAA"/>
    <w:rsid w:val="00047A60"/>
    <w:rsid w:val="000515C1"/>
    <w:rsid w:val="000542E0"/>
    <w:rsid w:val="0005561D"/>
    <w:rsid w:val="00055743"/>
    <w:rsid w:val="00056223"/>
    <w:rsid w:val="00057492"/>
    <w:rsid w:val="00060B93"/>
    <w:rsid w:val="0006209D"/>
    <w:rsid w:val="000621A3"/>
    <w:rsid w:val="00063B3A"/>
    <w:rsid w:val="000663A5"/>
    <w:rsid w:val="00066A8B"/>
    <w:rsid w:val="00067C85"/>
    <w:rsid w:val="00070CBA"/>
    <w:rsid w:val="00071645"/>
    <w:rsid w:val="00071B00"/>
    <w:rsid w:val="00072769"/>
    <w:rsid w:val="00072C9F"/>
    <w:rsid w:val="000730F1"/>
    <w:rsid w:val="00074DCD"/>
    <w:rsid w:val="00075E1E"/>
    <w:rsid w:val="00076DCB"/>
    <w:rsid w:val="000842C3"/>
    <w:rsid w:val="0008449B"/>
    <w:rsid w:val="00084F40"/>
    <w:rsid w:val="000913F7"/>
    <w:rsid w:val="000921DF"/>
    <w:rsid w:val="00097638"/>
    <w:rsid w:val="000A05E1"/>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351F"/>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1E0"/>
    <w:rsid w:val="002049F7"/>
    <w:rsid w:val="00204F28"/>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056D"/>
    <w:rsid w:val="0028186B"/>
    <w:rsid w:val="00282DB1"/>
    <w:rsid w:val="002838BD"/>
    <w:rsid w:val="00284C92"/>
    <w:rsid w:val="00286BD3"/>
    <w:rsid w:val="002870D4"/>
    <w:rsid w:val="0029469F"/>
    <w:rsid w:val="0029480B"/>
    <w:rsid w:val="00295A6B"/>
    <w:rsid w:val="0029771E"/>
    <w:rsid w:val="002A25AC"/>
    <w:rsid w:val="002A3C75"/>
    <w:rsid w:val="002A6DEE"/>
    <w:rsid w:val="002B2361"/>
    <w:rsid w:val="002B2A2E"/>
    <w:rsid w:val="002B4A43"/>
    <w:rsid w:val="002B67A8"/>
    <w:rsid w:val="002C0FE5"/>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1029"/>
    <w:rsid w:val="00313C12"/>
    <w:rsid w:val="00314238"/>
    <w:rsid w:val="003209D7"/>
    <w:rsid w:val="003238D8"/>
    <w:rsid w:val="00323F2D"/>
    <w:rsid w:val="00324000"/>
    <w:rsid w:val="003263C0"/>
    <w:rsid w:val="00333BB4"/>
    <w:rsid w:val="00335CC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73376"/>
    <w:rsid w:val="0037502E"/>
    <w:rsid w:val="00377916"/>
    <w:rsid w:val="00383A1B"/>
    <w:rsid w:val="00384672"/>
    <w:rsid w:val="003856DB"/>
    <w:rsid w:val="00385FBA"/>
    <w:rsid w:val="003879E8"/>
    <w:rsid w:val="00387F69"/>
    <w:rsid w:val="003902F1"/>
    <w:rsid w:val="00391D34"/>
    <w:rsid w:val="0039423C"/>
    <w:rsid w:val="003958D4"/>
    <w:rsid w:val="003A09AD"/>
    <w:rsid w:val="003A1840"/>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0A8"/>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2819"/>
    <w:rsid w:val="0042351B"/>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44A8"/>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3A63"/>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4BD4"/>
    <w:rsid w:val="00555552"/>
    <w:rsid w:val="00562B97"/>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2B0"/>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08"/>
    <w:rsid w:val="006D581F"/>
    <w:rsid w:val="006D76E8"/>
    <w:rsid w:val="006D7853"/>
    <w:rsid w:val="006E0EF5"/>
    <w:rsid w:val="006E27B7"/>
    <w:rsid w:val="006E2AA0"/>
    <w:rsid w:val="006E3BDC"/>
    <w:rsid w:val="006F05CA"/>
    <w:rsid w:val="006F1729"/>
    <w:rsid w:val="006F3257"/>
    <w:rsid w:val="006F4162"/>
    <w:rsid w:val="006F4C59"/>
    <w:rsid w:val="006F580B"/>
    <w:rsid w:val="006F6A65"/>
    <w:rsid w:val="00700548"/>
    <w:rsid w:val="00701E10"/>
    <w:rsid w:val="00702D65"/>
    <w:rsid w:val="00706E08"/>
    <w:rsid w:val="007077C6"/>
    <w:rsid w:val="00713A54"/>
    <w:rsid w:val="00713C89"/>
    <w:rsid w:val="00717CD3"/>
    <w:rsid w:val="007200B3"/>
    <w:rsid w:val="00720737"/>
    <w:rsid w:val="0072451C"/>
    <w:rsid w:val="00726CAB"/>
    <w:rsid w:val="007371C4"/>
    <w:rsid w:val="0074146B"/>
    <w:rsid w:val="00744685"/>
    <w:rsid w:val="00745602"/>
    <w:rsid w:val="00746692"/>
    <w:rsid w:val="007513F0"/>
    <w:rsid w:val="00754FE4"/>
    <w:rsid w:val="007571E5"/>
    <w:rsid w:val="00757F84"/>
    <w:rsid w:val="0076010D"/>
    <w:rsid w:val="00761346"/>
    <w:rsid w:val="007625DC"/>
    <w:rsid w:val="00762AB4"/>
    <w:rsid w:val="00764488"/>
    <w:rsid w:val="007713AC"/>
    <w:rsid w:val="0077207A"/>
    <w:rsid w:val="00773C46"/>
    <w:rsid w:val="00775B94"/>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2BB"/>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20E26"/>
    <w:rsid w:val="00822B7B"/>
    <w:rsid w:val="00823050"/>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5FD4"/>
    <w:rsid w:val="008762BB"/>
    <w:rsid w:val="008768EF"/>
    <w:rsid w:val="0088182C"/>
    <w:rsid w:val="008829B4"/>
    <w:rsid w:val="00884A30"/>
    <w:rsid w:val="00885533"/>
    <w:rsid w:val="00886CC5"/>
    <w:rsid w:val="00886F75"/>
    <w:rsid w:val="00887F84"/>
    <w:rsid w:val="00892873"/>
    <w:rsid w:val="00892E1C"/>
    <w:rsid w:val="008935AE"/>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5ABC"/>
    <w:rsid w:val="008E0B5D"/>
    <w:rsid w:val="008E1149"/>
    <w:rsid w:val="008E11B2"/>
    <w:rsid w:val="008E289E"/>
    <w:rsid w:val="008E38FD"/>
    <w:rsid w:val="008E3FC6"/>
    <w:rsid w:val="008E4585"/>
    <w:rsid w:val="008F0737"/>
    <w:rsid w:val="008F17FA"/>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3144"/>
    <w:rsid w:val="0092456B"/>
    <w:rsid w:val="0092498B"/>
    <w:rsid w:val="00932586"/>
    <w:rsid w:val="0093473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0A28"/>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1DD2"/>
    <w:rsid w:val="009E3238"/>
    <w:rsid w:val="009E38D2"/>
    <w:rsid w:val="009E396F"/>
    <w:rsid w:val="009E39FF"/>
    <w:rsid w:val="009E3D90"/>
    <w:rsid w:val="009E5563"/>
    <w:rsid w:val="009E5D84"/>
    <w:rsid w:val="009E668B"/>
    <w:rsid w:val="009E7900"/>
    <w:rsid w:val="009F0A1F"/>
    <w:rsid w:val="009F133F"/>
    <w:rsid w:val="009F1565"/>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76B4D"/>
    <w:rsid w:val="00A8130F"/>
    <w:rsid w:val="00A81789"/>
    <w:rsid w:val="00A82E84"/>
    <w:rsid w:val="00A9069A"/>
    <w:rsid w:val="00A91951"/>
    <w:rsid w:val="00A92EA0"/>
    <w:rsid w:val="00A94C20"/>
    <w:rsid w:val="00A95562"/>
    <w:rsid w:val="00A96CF4"/>
    <w:rsid w:val="00A97792"/>
    <w:rsid w:val="00AA1104"/>
    <w:rsid w:val="00AA283D"/>
    <w:rsid w:val="00AA6552"/>
    <w:rsid w:val="00AA6D34"/>
    <w:rsid w:val="00AB0AB1"/>
    <w:rsid w:val="00AB22CF"/>
    <w:rsid w:val="00AB2BE6"/>
    <w:rsid w:val="00AB3007"/>
    <w:rsid w:val="00AB49CD"/>
    <w:rsid w:val="00AB4B4C"/>
    <w:rsid w:val="00AB5AC4"/>
    <w:rsid w:val="00AC17C5"/>
    <w:rsid w:val="00AC4166"/>
    <w:rsid w:val="00AC7C00"/>
    <w:rsid w:val="00AD03AB"/>
    <w:rsid w:val="00AD154C"/>
    <w:rsid w:val="00AD1653"/>
    <w:rsid w:val="00AD266F"/>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0A57"/>
    <w:rsid w:val="00B45AA6"/>
    <w:rsid w:val="00B4671E"/>
    <w:rsid w:val="00B52391"/>
    <w:rsid w:val="00B5360E"/>
    <w:rsid w:val="00B5619F"/>
    <w:rsid w:val="00B57138"/>
    <w:rsid w:val="00B57598"/>
    <w:rsid w:val="00B60FB5"/>
    <w:rsid w:val="00B7095B"/>
    <w:rsid w:val="00B71C1E"/>
    <w:rsid w:val="00B74A7E"/>
    <w:rsid w:val="00B80ABA"/>
    <w:rsid w:val="00B80BCF"/>
    <w:rsid w:val="00B81894"/>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D6B29"/>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4CAD"/>
    <w:rsid w:val="00C16996"/>
    <w:rsid w:val="00C17B6A"/>
    <w:rsid w:val="00C2154B"/>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77FF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1D0E"/>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72B2"/>
    <w:rsid w:val="00D91C10"/>
    <w:rsid w:val="00D92095"/>
    <w:rsid w:val="00D9351E"/>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E7228"/>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589"/>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C6F43"/>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A33"/>
    <w:rsid w:val="00F3328C"/>
    <w:rsid w:val="00F362A1"/>
    <w:rsid w:val="00F367D3"/>
    <w:rsid w:val="00F37998"/>
    <w:rsid w:val="00F43696"/>
    <w:rsid w:val="00F43C8D"/>
    <w:rsid w:val="00F43F80"/>
    <w:rsid w:val="00F46EBB"/>
    <w:rsid w:val="00F502EE"/>
    <w:rsid w:val="00F551C9"/>
    <w:rsid w:val="00F57AB3"/>
    <w:rsid w:val="00F60B67"/>
    <w:rsid w:val="00F61878"/>
    <w:rsid w:val="00F61DB5"/>
    <w:rsid w:val="00F621B2"/>
    <w:rsid w:val="00F627F6"/>
    <w:rsid w:val="00F63476"/>
    <w:rsid w:val="00F64571"/>
    <w:rsid w:val="00F67C9F"/>
    <w:rsid w:val="00F70A21"/>
    <w:rsid w:val="00F70BBE"/>
    <w:rsid w:val="00F7107E"/>
    <w:rsid w:val="00F767C8"/>
    <w:rsid w:val="00F807CE"/>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4F08"/>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9655</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2025-03-13T09:35:00Z</cp:lastPrinted>
  <dcterms:created xsi:type="dcterms:W3CDTF">2025-04-22T10:52:00Z</dcterms:created>
  <dcterms:modified xsi:type="dcterms:W3CDTF">2025-04-22T10:52:00Z</dcterms:modified>
</cp:coreProperties>
</file>