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B62F61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036614">
              <w:rPr>
                <w:b/>
                <w:sz w:val="28"/>
                <w:szCs w:val="28"/>
              </w:rPr>
              <w:t>40</w:t>
            </w:r>
            <w:r w:rsidR="00574793">
              <w:rPr>
                <w:b/>
                <w:sz w:val="28"/>
                <w:szCs w:val="28"/>
              </w:rPr>
              <w:t xml:space="preserve"> </w:t>
            </w:r>
            <w:r w:rsidR="00EA50AA">
              <w:rPr>
                <w:b/>
                <w:sz w:val="28"/>
                <w:szCs w:val="28"/>
              </w:rPr>
              <w:t>/71234446/2025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036614">
      <w:pPr>
        <w:spacing w:before="0"/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036614">
      <w:pPr>
        <w:spacing w:before="0"/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036614">
      <w:pPr>
        <w:spacing w:before="0"/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036614">
      <w:pPr>
        <w:spacing w:before="0"/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7ED99D66" w14:textId="7B053E3C" w:rsidR="00A03044" w:rsidRDefault="00E77120" w:rsidP="00036614">
      <w:pPr>
        <w:spacing w:before="0"/>
        <w:rPr>
          <w:szCs w:val="24"/>
        </w:rPr>
      </w:pPr>
      <w:r>
        <w:rPr>
          <w:szCs w:val="24"/>
        </w:rPr>
        <w:tab/>
      </w:r>
      <w:proofErr w:type="spellStart"/>
      <w:r w:rsidR="00036614">
        <w:rPr>
          <w:szCs w:val="24"/>
        </w:rPr>
        <w:t>Azmera</w:t>
      </w:r>
      <w:proofErr w:type="spellEnd"/>
      <w:r w:rsidR="00036614">
        <w:rPr>
          <w:szCs w:val="24"/>
        </w:rPr>
        <w:t xml:space="preserve"> s.r.o.</w:t>
      </w:r>
    </w:p>
    <w:p w14:paraId="6C209713" w14:textId="52059680" w:rsidR="00036614" w:rsidRDefault="00036614" w:rsidP="00036614">
      <w:pPr>
        <w:spacing w:before="0"/>
        <w:rPr>
          <w:szCs w:val="24"/>
        </w:rPr>
      </w:pPr>
      <w:r>
        <w:rPr>
          <w:szCs w:val="24"/>
        </w:rPr>
        <w:tab/>
        <w:t>Huťská 1350</w:t>
      </w:r>
    </w:p>
    <w:p w14:paraId="5B151885" w14:textId="4B02C2BD" w:rsidR="00036614" w:rsidRDefault="00036614" w:rsidP="00036614">
      <w:pPr>
        <w:spacing w:before="0"/>
        <w:rPr>
          <w:szCs w:val="24"/>
        </w:rPr>
      </w:pPr>
      <w:r>
        <w:rPr>
          <w:szCs w:val="24"/>
        </w:rPr>
        <w:tab/>
        <w:t>27201 Kladno</w:t>
      </w:r>
    </w:p>
    <w:p w14:paraId="3FB128D0" w14:textId="74B062DE" w:rsidR="00036614" w:rsidRDefault="00036614" w:rsidP="00036614">
      <w:pPr>
        <w:spacing w:before="0"/>
        <w:rPr>
          <w:szCs w:val="24"/>
        </w:rPr>
      </w:pPr>
      <w:r>
        <w:rPr>
          <w:szCs w:val="24"/>
        </w:rPr>
        <w:tab/>
        <w:t>IČ: 02315271</w:t>
      </w:r>
    </w:p>
    <w:p w14:paraId="498CF553" w14:textId="5332F4D6" w:rsidR="00036614" w:rsidRDefault="00036614" w:rsidP="00036614">
      <w:pPr>
        <w:spacing w:before="0"/>
        <w:rPr>
          <w:szCs w:val="24"/>
        </w:rPr>
      </w:pPr>
      <w:r>
        <w:rPr>
          <w:szCs w:val="24"/>
        </w:rPr>
        <w:tab/>
        <w:t>DIČ: CZ02315271</w:t>
      </w:r>
    </w:p>
    <w:p w14:paraId="08E4E32A" w14:textId="25257C13" w:rsidR="00A03044" w:rsidRDefault="00036614" w:rsidP="008753E5">
      <w:pPr>
        <w:spacing w:before="0"/>
        <w:rPr>
          <w:szCs w:val="24"/>
        </w:rPr>
      </w:pPr>
      <w:r>
        <w:rPr>
          <w:szCs w:val="24"/>
        </w:rPr>
        <w:tab/>
      </w:r>
    </w:p>
    <w:p w14:paraId="2E4A7414" w14:textId="7D783DB9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6EDBCE61" w:rsidR="00B22C80" w:rsidRDefault="00036614" w:rsidP="0054285C">
      <w:pPr>
        <w:rPr>
          <w:szCs w:val="24"/>
        </w:rPr>
      </w:pPr>
      <w:r>
        <w:rPr>
          <w:szCs w:val="24"/>
        </w:rPr>
        <w:tab/>
        <w:t>Na základě Vaší CN u Vás objednáváme:</w:t>
      </w:r>
    </w:p>
    <w:p w14:paraId="303969DC" w14:textId="3CEF03AA" w:rsidR="00036614" w:rsidRPr="00036614" w:rsidRDefault="00036614" w:rsidP="00036614">
      <w:pPr>
        <w:rPr>
          <w:szCs w:val="24"/>
        </w:rPr>
      </w:pPr>
      <w:r>
        <w:rPr>
          <w:szCs w:val="24"/>
        </w:rPr>
        <w:tab/>
      </w:r>
      <w:r w:rsidRPr="00036614">
        <w:rPr>
          <w:szCs w:val="24"/>
        </w:rPr>
        <w:t>Služby finanční účtárny</w:t>
      </w:r>
      <w:r>
        <w:rPr>
          <w:szCs w:val="24"/>
        </w:rPr>
        <w:t>, které</w:t>
      </w:r>
      <w:r w:rsidRPr="00036614">
        <w:rPr>
          <w:szCs w:val="24"/>
        </w:rPr>
        <w:t xml:space="preserve"> zahrnují:</w:t>
      </w:r>
      <w:r>
        <w:rPr>
          <w:szCs w:val="24"/>
        </w:rPr>
        <w:tab/>
      </w:r>
    </w:p>
    <w:p w14:paraId="259EDC17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účtování podle výpisu z banky o stavu a pohybu finančních prostředků na bankovních účtech organizace a kontrola bankovních zůstatků</w:t>
      </w:r>
    </w:p>
    <w:p w14:paraId="5A6E2D8E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podle platných zákonů, vyhlášek a účtového rozvrhu účtování o nákladech, výnosech, příjmech, výdajích, o rezervním fondu, FKSP, fondu reprodukce a pohybech na depozitním účtu uživatelů/úložky, pozůstalosti, aj./, podrozvahových účtech</w:t>
      </w:r>
    </w:p>
    <w:p w14:paraId="4FD67A33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účtování o mzdách, pokladnách, skladech, ceninách, vkladních knížkách, věcných depozitech</w:t>
      </w:r>
    </w:p>
    <w:p w14:paraId="721AD9A8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měsíční kontrola vybraných účtů s organizací</w:t>
      </w:r>
    </w:p>
    <w:p w14:paraId="0B1CE7CA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zadávání rozpočtu do programu na základě podkladů od organizace. Rozpočet je součástí měsíčních rozborových sestav.</w:t>
      </w:r>
    </w:p>
    <w:p w14:paraId="6EF4D745" w14:textId="77777777" w:rsid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zpracování měsíční účetní závěrky na základě došlých podkladů</w:t>
      </w:r>
    </w:p>
    <w:p w14:paraId="66E53F48" w14:textId="7BABA47F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</w:t>
      </w:r>
      <w:r w:rsidRPr="00036614">
        <w:rPr>
          <w:szCs w:val="24"/>
        </w:rPr>
        <w:t>latby bankou</w:t>
      </w:r>
    </w:p>
    <w:p w14:paraId="41F35652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1x za čtvrtletí elektronické odeslání firmě MÚZO a veškeré kontroly s tím související</w:t>
      </w:r>
    </w:p>
    <w:p w14:paraId="2F436321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 xml:space="preserve">Kontrola stavů a pohybů dlouhodobého majetku a čtvrtletně výpočet výše odpisů </w:t>
      </w:r>
    </w:p>
    <w:p w14:paraId="473EAC93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po zpracování měsíční závěrky jsou organizaci předány v elektronické podobě sestavy: měsíční pohyby na nákladových a výnosových účtech, rozvaha, výkaz zisku a ztráty, příloha, rozbory nákladů a výnosů podle jednotlivých nákladových a výnosových účtů včetně plnění rozpočtu/ načítaný od začátku roku/ a podle jednotlivých druhů služeb, čerpání státní dotace apod. Na vyžádání odeslání např. stav fondů, aj. sestavy</w:t>
      </w:r>
    </w:p>
    <w:p w14:paraId="4A6F5719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elektronicky měsíční povinné sestavy: rozvaha, výkaz zisku a ztráty a přílohy, hlavní knihy a deníky</w:t>
      </w:r>
    </w:p>
    <w:p w14:paraId="2C6D2FCD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zpracování dokladové inventury u vybraných účtů dle dohody a spolupráce  při inventurách majetku/ kontrolní sestavy, podklady pro inventarizaci dlouhodobého majetku</w:t>
      </w:r>
    </w:p>
    <w:p w14:paraId="73CF9D84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 xml:space="preserve">zpracování roční účetní závěrky včetně všech ročních závěrkových prací týkajících se účetnictví </w:t>
      </w:r>
    </w:p>
    <w:p w14:paraId="7EDACD2E" w14:textId="77777777" w:rsidR="00036614" w:rsidRP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účast na kontrolách, které se provádí v dané organizaci / prováděné zřizovatelem, aj./</w:t>
      </w:r>
    </w:p>
    <w:p w14:paraId="0A14C84F" w14:textId="15D01D87" w:rsidR="00B21497" w:rsidRPr="00036614" w:rsidRDefault="00036614" w:rsidP="00B21497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spolupráce s auditorem, který zpracovává audit o použití státní dotace</w:t>
      </w:r>
    </w:p>
    <w:p w14:paraId="7C5720E3" w14:textId="77777777" w:rsidR="00036614" w:rsidRDefault="00036614" w:rsidP="00036614">
      <w:pPr>
        <w:numPr>
          <w:ilvl w:val="0"/>
          <w:numId w:val="3"/>
        </w:numPr>
        <w:rPr>
          <w:szCs w:val="24"/>
        </w:rPr>
      </w:pPr>
      <w:r w:rsidRPr="00036614">
        <w:rPr>
          <w:szCs w:val="24"/>
        </w:rPr>
        <w:t>jiné finanční výkazy na základě požadavku</w:t>
      </w:r>
    </w:p>
    <w:p w14:paraId="46969C4B" w14:textId="77777777" w:rsidR="00B21497" w:rsidRDefault="00B21497" w:rsidP="00B21497">
      <w:pPr>
        <w:ind w:left="360"/>
        <w:rPr>
          <w:szCs w:val="24"/>
        </w:rPr>
      </w:pPr>
    </w:p>
    <w:p w14:paraId="096D203C" w14:textId="58340F5C" w:rsidR="00B21497" w:rsidRPr="00036614" w:rsidRDefault="00B21497" w:rsidP="00B21497">
      <w:pPr>
        <w:ind w:left="360"/>
        <w:rPr>
          <w:szCs w:val="24"/>
        </w:rPr>
      </w:pPr>
      <w:r w:rsidRPr="00B21497">
        <w:rPr>
          <w:szCs w:val="24"/>
        </w:rPr>
        <w:t>Podrobnosti týkající se odpovědnosti za předané podklady, lhůt pro předání a zpracování účetních dat, způsobu komunikace a předávání dokumentů, pravidel archivace, rozsahu nestandardních služeb, pojištění profesní odpovědnosti</w:t>
      </w:r>
      <w:r>
        <w:rPr>
          <w:szCs w:val="24"/>
        </w:rPr>
        <w:t xml:space="preserve">, </w:t>
      </w:r>
      <w:r w:rsidRPr="00B21497">
        <w:rPr>
          <w:szCs w:val="24"/>
        </w:rPr>
        <w:t>zajištění zastupitelnosti zpracovatele budou upřesněny při osobní schůzce smluvních stran</w:t>
      </w:r>
      <w:r w:rsidR="005120ED">
        <w:rPr>
          <w:szCs w:val="24"/>
        </w:rPr>
        <w:t>, popřípadě budou vykomunikovány e-mailem.</w:t>
      </w:r>
    </w:p>
    <w:p w14:paraId="363656E1" w14:textId="3595AA4A" w:rsidR="00036614" w:rsidRDefault="00036614" w:rsidP="0054285C">
      <w:pPr>
        <w:rPr>
          <w:szCs w:val="24"/>
        </w:rPr>
      </w:pPr>
    </w:p>
    <w:p w14:paraId="14CBD918" w14:textId="6B543B91" w:rsidR="00A03044" w:rsidRDefault="00A03044" w:rsidP="0054285C">
      <w:pPr>
        <w:rPr>
          <w:szCs w:val="24"/>
        </w:rPr>
      </w:pPr>
    </w:p>
    <w:p w14:paraId="197E1F51" w14:textId="77777777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85D05DB" w:rsidR="00F97414" w:rsidRPr="00F97414" w:rsidRDefault="00A03044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1B2CFFC6" w:rsidR="00F97414" w:rsidRPr="00F97414" w:rsidRDefault="00F97414" w:rsidP="00B22C80">
            <w:pPr>
              <w:rPr>
                <w:szCs w:val="24"/>
              </w:rPr>
            </w:pP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A15A378" w:rsidR="00F97414" w:rsidRPr="00F97414" w:rsidRDefault="00A03044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E16EB50" w:rsidR="00DB6052" w:rsidRPr="00B822F7" w:rsidRDefault="007024CD" w:rsidP="0021442E">
      <w:pPr>
        <w:ind w:firstLine="708"/>
        <w:rPr>
          <w:bCs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B822F7" w:rsidRPr="00B822F7">
        <w:rPr>
          <w:bCs/>
          <w:sz w:val="32"/>
          <w:szCs w:val="32"/>
        </w:rPr>
        <w:t>1.6.2025-31.12.2025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412949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B822F7" w:rsidRPr="00B822F7">
        <w:rPr>
          <w:bCs/>
          <w:sz w:val="32"/>
          <w:szCs w:val="32"/>
        </w:rPr>
        <w:t>23.4.2025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1961160" w:rsidR="0021442E" w:rsidRPr="00B822F7" w:rsidRDefault="0021442E" w:rsidP="0021442E">
      <w:pPr>
        <w:ind w:firstLine="708"/>
        <w:rPr>
          <w:bCs/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655C"/>
    <w:multiLevelType w:val="multilevel"/>
    <w:tmpl w:val="9C2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1858045">
    <w:abstractNumId w:val="1"/>
  </w:num>
  <w:num w:numId="2" w16cid:durableId="1314287460">
    <w:abstractNumId w:val="2"/>
  </w:num>
  <w:num w:numId="3" w16cid:durableId="4636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92"/>
    <w:rsid w:val="00036614"/>
    <w:rsid w:val="00170BC2"/>
    <w:rsid w:val="00182743"/>
    <w:rsid w:val="001875CE"/>
    <w:rsid w:val="001A6384"/>
    <w:rsid w:val="0021442E"/>
    <w:rsid w:val="002161D9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D2D77"/>
    <w:rsid w:val="005120ED"/>
    <w:rsid w:val="0054285C"/>
    <w:rsid w:val="00565886"/>
    <w:rsid w:val="00574793"/>
    <w:rsid w:val="005766BA"/>
    <w:rsid w:val="005C6A0E"/>
    <w:rsid w:val="00663A2D"/>
    <w:rsid w:val="00693D4F"/>
    <w:rsid w:val="006A4680"/>
    <w:rsid w:val="006A74E0"/>
    <w:rsid w:val="006D7875"/>
    <w:rsid w:val="006F02B1"/>
    <w:rsid w:val="007024CD"/>
    <w:rsid w:val="007355C0"/>
    <w:rsid w:val="008270C1"/>
    <w:rsid w:val="008303FA"/>
    <w:rsid w:val="008753E5"/>
    <w:rsid w:val="00915CFB"/>
    <w:rsid w:val="009353FB"/>
    <w:rsid w:val="009527BE"/>
    <w:rsid w:val="00956CDA"/>
    <w:rsid w:val="009754A8"/>
    <w:rsid w:val="009A7CEE"/>
    <w:rsid w:val="009B5EEF"/>
    <w:rsid w:val="009E2D60"/>
    <w:rsid w:val="009E4A88"/>
    <w:rsid w:val="00A03044"/>
    <w:rsid w:val="00A44068"/>
    <w:rsid w:val="00AC3BF1"/>
    <w:rsid w:val="00B21497"/>
    <w:rsid w:val="00B22C80"/>
    <w:rsid w:val="00B367CF"/>
    <w:rsid w:val="00B822F7"/>
    <w:rsid w:val="00B9328B"/>
    <w:rsid w:val="00BA2492"/>
    <w:rsid w:val="00C02B62"/>
    <w:rsid w:val="00C309CD"/>
    <w:rsid w:val="00C33FC6"/>
    <w:rsid w:val="00CC2A40"/>
    <w:rsid w:val="00D322B0"/>
    <w:rsid w:val="00D6078C"/>
    <w:rsid w:val="00DB6052"/>
    <w:rsid w:val="00DC2BBB"/>
    <w:rsid w:val="00DD1796"/>
    <w:rsid w:val="00E04EAB"/>
    <w:rsid w:val="00E73078"/>
    <w:rsid w:val="00E77120"/>
    <w:rsid w:val="00EA50AA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Martina</cp:lastModifiedBy>
  <cp:revision>3</cp:revision>
  <cp:lastPrinted>2025-04-23T10:19:00Z</cp:lastPrinted>
  <dcterms:created xsi:type="dcterms:W3CDTF">2025-04-23T12:54:00Z</dcterms:created>
  <dcterms:modified xsi:type="dcterms:W3CDTF">2025-04-28T10:07:00Z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