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SMLOU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49AF8A59" w:rsidR="008F53B8" w:rsidRPr="00987D11" w:rsidRDefault="00987D11" w:rsidP="008F53B8">
            <w:pPr>
              <w:pStyle w:val="Zkladn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  <w:proofErr w:type="spellStart"/>
            <w:r w:rsidRPr="00987D1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76323192" w:rsidR="00FB5329" w:rsidRPr="00DC542A" w:rsidRDefault="00987D1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026C" w14:textId="0AA30ECA" w:rsidR="006E327C" w:rsidRPr="00987D11" w:rsidRDefault="00987D11" w:rsidP="006E327C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5FFCDE76" w:rsidR="00FB5329" w:rsidRPr="00DC542A" w:rsidRDefault="00984BB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5/127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S/CXI/8410/2025/127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1C504F86" w:rsidR="008136D3" w:rsidRPr="008136D3" w:rsidRDefault="00ED2D6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gotech, a.s. 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 xml:space="preserve">Algotech, a.s. 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591ECEC7" w:rsidR="008136D3" w:rsidRPr="008136D3" w:rsidRDefault="00897EF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kolovská 668/136D, Praha - Karlín, 186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Sokolovská 668/136D, Praha - Karlín, 18600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401E3AB4" w:rsidR="008136D3" w:rsidRPr="008136D3" w:rsidRDefault="00B818E0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775487 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 xml:space="preserve">24775487 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62230676" w:rsidR="008136D3" w:rsidRPr="008136D3" w:rsidRDefault="003C2B0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24775487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CZ24775487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7BD29721" w:rsidR="008136D3" w:rsidRPr="008136D3" w:rsidRDefault="00987D11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3E5C78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4775E772" w:rsidR="003E5C78" w:rsidRPr="008136D3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antišek Zeman, statutární zástupce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František Zeman, statutární zástupce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E5C78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6F88AEC7" w:rsidR="003E5C78" w:rsidRPr="008136D3" w:rsidRDefault="00987D11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3E5C78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24E9B21D" w:rsidR="003E5C78" w:rsidRPr="008136D3" w:rsidRDefault="00987D11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</w:tbl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D1C636D" w14:textId="77777777" w:rsidR="00A068B0" w:rsidRPr="00E37BC4" w:rsidRDefault="00A068B0" w:rsidP="00A068B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EB695B1" w14:textId="5FE81981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987D11">
        <w:rPr>
          <w:color w:val="000000" w:themeColor="text1"/>
        </w:rPr>
        <w:t>xxx</w:t>
      </w:r>
      <w:proofErr w:type="spellEnd"/>
      <w:r w:rsidR="00A24567" w:rsidRPr="00D3358C">
        <w:t>.</w:t>
      </w:r>
    </w:p>
    <w:p w14:paraId="0D995995" w14:textId="4C0CFD9A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proofErr w:type="spellStart"/>
      <w:r w:rsidR="00987D11">
        <w:rPr>
          <w:color w:val="000000" w:themeColor="text1"/>
        </w:rPr>
        <w:t>xxx</w:t>
      </w:r>
      <w:proofErr w:type="spellEnd"/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4317A946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520DA6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60"/>
            </w:textInput>
          </w:ffData>
        </w:fldChar>
      </w:r>
      <w:r w:rsidR="00520DA6">
        <w:rPr>
          <w:color w:val="000000" w:themeColor="text1"/>
        </w:rPr>
        <w:instrText xml:space="preserve"> FORMTEXT </w:instrText>
      </w:r>
      <w:r w:rsidR="00520DA6">
        <w:rPr>
          <w:color w:val="000000" w:themeColor="text1"/>
        </w:rPr>
      </w:r>
      <w:r w:rsidR="00520DA6">
        <w:rPr>
          <w:color w:val="000000" w:themeColor="text1"/>
        </w:rPr>
        <w:fldChar w:fldCharType="separate"/>
      </w:r>
      <w:r w:rsidR="00520DA6">
        <w:rPr>
          <w:noProof/>
          <w:color w:val="000000" w:themeColor="text1"/>
        </w:rPr>
        <w:t>160</w:t>
      </w:r>
      <w:r w:rsidR="00520DA6">
        <w:rPr>
          <w:color w:val="000000" w:themeColor="text1"/>
        </w:rPr>
        <w:fldChar w:fldCharType="end"/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0D2366CE" w14:textId="77777777" w:rsidR="00371B0A" w:rsidRPr="00BB7E42" w:rsidRDefault="00371B0A" w:rsidP="00371B0A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zpracování da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zpracování dat</w:t>
      </w:r>
      <w:r>
        <w:rPr>
          <w:color w:val="000000" w:themeColor="text1"/>
        </w:rPr>
        <w:fldChar w:fldCharType="end"/>
      </w:r>
    </w:p>
    <w:p w14:paraId="46DCF4BB" w14:textId="770E1106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987D11">
        <w:rPr>
          <w:color w:val="000000" w:themeColor="text1"/>
        </w:rPr>
        <w:t>xxx</w:t>
      </w:r>
      <w:proofErr w:type="spellEnd"/>
      <w:r w:rsidR="00745929" w:rsidRPr="00D3358C">
        <w:t>.</w:t>
      </w:r>
    </w:p>
    <w:p w14:paraId="25A59336" w14:textId="25AA8680" w:rsidR="001400D1" w:rsidRPr="00D3358C" w:rsidRDefault="001400D1" w:rsidP="006C683D">
      <w:pPr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proofErr w:type="spellStart"/>
      <w:r w:rsidR="00987D11">
        <w:rPr>
          <w:color w:val="000000" w:themeColor="text1"/>
        </w:rPr>
        <w:t>xxx</w:t>
      </w:r>
      <w:proofErr w:type="spellEnd"/>
    </w:p>
    <w:p w14:paraId="5C0D39F6" w14:textId="5EDA03C6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5556EF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200 hod."/>
            </w:textInput>
          </w:ffData>
        </w:fldChar>
      </w:r>
      <w:r w:rsidR="005556EF">
        <w:rPr>
          <w:color w:val="000000" w:themeColor="text1"/>
        </w:rPr>
        <w:instrText xml:space="preserve"> FORMTEXT </w:instrText>
      </w:r>
      <w:r w:rsidR="005556EF">
        <w:rPr>
          <w:color w:val="000000" w:themeColor="text1"/>
        </w:rPr>
      </w:r>
      <w:r w:rsidR="005556EF">
        <w:rPr>
          <w:color w:val="000000" w:themeColor="text1"/>
        </w:rPr>
        <w:fldChar w:fldCharType="separate"/>
      </w:r>
      <w:r w:rsidR="005556EF">
        <w:rPr>
          <w:noProof/>
          <w:color w:val="000000" w:themeColor="text1"/>
        </w:rPr>
        <w:t>200 hod.</w:t>
      </w:r>
      <w:r w:rsidR="005556EF">
        <w:rPr>
          <w:color w:val="000000" w:themeColor="text1"/>
        </w:rPr>
        <w:fldChar w:fldCharType="end"/>
      </w:r>
      <w:r w:rsidR="00D3358C" w:rsidRPr="00E37BC4">
        <w:t>.</w:t>
      </w:r>
    </w:p>
    <w:p w14:paraId="0C739E3B" w14:textId="150A0A55" w:rsidR="00AE4F93" w:rsidRDefault="00AE4F93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269"/>
        <w:gridCol w:w="1328"/>
        <w:gridCol w:w="1965"/>
        <w:gridCol w:w="2138"/>
      </w:tblGrid>
      <w:tr w:rsidR="00D3358C" w:rsidRPr="00E37BC4" w14:paraId="48958BCF" w14:textId="77777777" w:rsidTr="008A75B5">
        <w:tc>
          <w:tcPr>
            <w:tcW w:w="3269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28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65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38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8A75B5">
        <w:tc>
          <w:tcPr>
            <w:tcW w:w="3269" w:type="dxa"/>
          </w:tcPr>
          <w:p w14:paraId="2C2167EF" w14:textId="34EA558A" w:rsidR="00552B28" w:rsidRPr="00E37BC4" w:rsidRDefault="00EC4A6A" w:rsidP="00E37BC4">
            <w:r w:rsidRPr="00E37BC4">
              <w:t xml:space="preserve">Ad. 2.1. </w:t>
            </w:r>
            <w:r w:rsidR="005E550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5E550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5E550C">
              <w:rPr>
                <w:color w:val="000000" w:themeColor="text1"/>
                <w:sz w:val="20"/>
                <w:szCs w:val="20"/>
              </w:rPr>
            </w:r>
            <w:r w:rsidR="005E550C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5E550C">
              <w:rPr>
                <w:noProof/>
                <w:color w:val="000000" w:themeColor="text1"/>
                <w:sz w:val="20"/>
                <w:szCs w:val="20"/>
              </w:rPr>
              <w:t>Poradenství k analýze dat, modelování, simulaci, ML a AI zpracování</w:t>
            </w:r>
            <w:r w:rsidR="005E550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189CFD3D" w14:textId="2518FBE8" w:rsidR="00552B28" w:rsidRPr="003017D0" w:rsidRDefault="000C7F3D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160</w:t>
            </w:r>
            <w:r>
              <w:rPr>
                <w:color w:val="000000" w:themeColor="text1"/>
              </w:rPr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965" w:type="dxa"/>
          </w:tcPr>
          <w:p w14:paraId="59ABD697" w14:textId="4B2C9B7C" w:rsidR="00552B28" w:rsidRPr="00E37BC4" w:rsidRDefault="003F79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38" w:type="dxa"/>
          </w:tcPr>
          <w:p w14:paraId="305438FF" w14:textId="71ADF0F4" w:rsidR="00552B28" w:rsidRPr="00E37BC4" w:rsidRDefault="0074104F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 545,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14 545,60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0AEA3240" w14:textId="77777777" w:rsidTr="008A75B5">
        <w:tc>
          <w:tcPr>
            <w:tcW w:w="3269" w:type="dxa"/>
          </w:tcPr>
          <w:p w14:paraId="75B82231" w14:textId="7A9057A1" w:rsidR="00552B28" w:rsidRPr="00BB7E42" w:rsidRDefault="00EC4A6A" w:rsidP="00552B28">
            <w:r w:rsidRPr="00BB7E42">
              <w:lastRenderedPageBreak/>
              <w:t xml:space="preserve">Ad 2.2. </w:t>
            </w:r>
            <w:r w:rsidR="008A75B5" w:rsidRPr="00A73383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8A75B5" w:rsidRPr="00A73383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A75B5" w:rsidRPr="00A73383">
              <w:rPr>
                <w:color w:val="000000" w:themeColor="text1"/>
                <w:sz w:val="20"/>
                <w:szCs w:val="20"/>
              </w:rPr>
            </w:r>
            <w:r w:rsidR="008A75B5" w:rsidRPr="00A73383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A75B5" w:rsidRPr="00A73383">
              <w:rPr>
                <w:noProof/>
                <w:color w:val="000000" w:themeColor="text1"/>
                <w:sz w:val="20"/>
                <w:szCs w:val="20"/>
              </w:rPr>
              <w:t>Testy a proof-of-concepty zpracování dat</w:t>
            </w:r>
            <w:r w:rsidR="008A75B5" w:rsidRPr="00A73383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404A7E4" w14:textId="277A385B" w:rsidR="00552B28" w:rsidRPr="00BB7E42" w:rsidRDefault="00DB6D8C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200</w:t>
            </w:r>
            <w:r>
              <w:rPr>
                <w:color w:val="000000" w:themeColor="text1"/>
              </w:rPr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1965" w:type="dxa"/>
          </w:tcPr>
          <w:p w14:paraId="31A9937F" w14:textId="0828B9FF" w:rsidR="00552B28" w:rsidRPr="00BB7E42" w:rsidRDefault="003F79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38" w:type="dxa"/>
          </w:tcPr>
          <w:p w14:paraId="518C356B" w14:textId="7AEA4987" w:rsidR="00552B28" w:rsidRPr="00BB7E42" w:rsidRDefault="00227F4E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 182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18 182,-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24844C4C" w14:textId="77777777" w:rsidTr="008A75B5">
        <w:tc>
          <w:tcPr>
            <w:tcW w:w="6562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38" w:type="dxa"/>
          </w:tcPr>
          <w:p w14:paraId="4FE52333" w14:textId="03228C61" w:rsidR="00EC4A6A" w:rsidRPr="00BB7E42" w:rsidRDefault="00120021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2 727,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32 727,60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264"/>
        <w:gridCol w:w="1146"/>
        <w:gridCol w:w="2147"/>
        <w:gridCol w:w="2143"/>
      </w:tblGrid>
      <w:tr w:rsidR="00D6648E" w:rsidRPr="00E37BC4" w14:paraId="3378B99F" w14:textId="77777777" w:rsidTr="000C7F3D">
        <w:tc>
          <w:tcPr>
            <w:tcW w:w="3321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038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0C7F3D">
        <w:tc>
          <w:tcPr>
            <w:tcW w:w="3321" w:type="dxa"/>
          </w:tcPr>
          <w:p w14:paraId="3975E8E5" w14:textId="6879D721" w:rsidR="00D6648E" w:rsidRPr="00E37BC4" w:rsidRDefault="00D6648E" w:rsidP="00B50C17">
            <w:r w:rsidRPr="00E37BC4">
              <w:t xml:space="preserve">Ad. 2.1. </w:t>
            </w:r>
            <w:r w:rsidR="000C7F3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0C7F3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0C7F3D">
              <w:rPr>
                <w:color w:val="000000" w:themeColor="text1"/>
                <w:sz w:val="20"/>
                <w:szCs w:val="20"/>
              </w:rPr>
            </w:r>
            <w:r w:rsidR="000C7F3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C7F3D">
              <w:rPr>
                <w:noProof/>
                <w:color w:val="000000" w:themeColor="text1"/>
                <w:sz w:val="20"/>
                <w:szCs w:val="20"/>
              </w:rPr>
              <w:t>Poradenství k analýze dat, modelování, simulaci, ML a AI zpracování</w:t>
            </w:r>
            <w:r w:rsidR="000C7F3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B7474C0" w14:textId="04C3861D" w:rsidR="00D6648E" w:rsidRPr="003017D0" w:rsidRDefault="000C7F3D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160</w:t>
            </w:r>
            <w:r>
              <w:rPr>
                <w:color w:val="000000" w:themeColor="text1"/>
              </w:rPr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7DE81A5B" w:rsidR="00D6648E" w:rsidRPr="00E37BC4" w:rsidRDefault="007978A7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2168" w:type="dxa"/>
          </w:tcPr>
          <w:p w14:paraId="207B49B8" w14:textId="50140FD2" w:rsidR="00D6648E" w:rsidRPr="00E37BC4" w:rsidRDefault="00F72CEA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748B41F5" w14:textId="77777777" w:rsidTr="000C7F3D">
        <w:tc>
          <w:tcPr>
            <w:tcW w:w="3321" w:type="dxa"/>
          </w:tcPr>
          <w:p w14:paraId="7068339B" w14:textId="6D526E09" w:rsidR="00D6648E" w:rsidRPr="00BB7E42" w:rsidRDefault="00D6648E" w:rsidP="00B50C17">
            <w:r w:rsidRPr="00BB7E42">
              <w:t xml:space="preserve">Ad 2.2. </w:t>
            </w:r>
            <w:r w:rsidR="000C7F3D" w:rsidRPr="00A73383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0C7F3D" w:rsidRPr="00A73383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0C7F3D" w:rsidRPr="00A73383">
              <w:rPr>
                <w:color w:val="000000" w:themeColor="text1"/>
                <w:sz w:val="20"/>
                <w:szCs w:val="20"/>
              </w:rPr>
            </w:r>
            <w:r w:rsidR="000C7F3D" w:rsidRPr="00A73383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C7F3D" w:rsidRPr="00A73383">
              <w:rPr>
                <w:noProof/>
                <w:color w:val="000000" w:themeColor="text1"/>
                <w:sz w:val="20"/>
                <w:szCs w:val="20"/>
              </w:rPr>
              <w:t>Testy a proof-of-concepty zpracování dat</w:t>
            </w:r>
            <w:r w:rsidR="000C7F3D" w:rsidRPr="00A73383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890A676" w14:textId="0225E9EC" w:rsidR="00D6648E" w:rsidRPr="00BB7E42" w:rsidRDefault="00DB6D8C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200</w:t>
            </w:r>
            <w:r>
              <w:rPr>
                <w:color w:val="000000" w:themeColor="text1"/>
              </w:rPr>
              <w:fldChar w:fldCharType="end"/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104EDEF4" w14:textId="00047728" w:rsidR="00D6648E" w:rsidRPr="00E37BC4" w:rsidRDefault="007978A7" w:rsidP="00B50C17">
            <w:pPr>
              <w:jc w:val="center"/>
            </w:pPr>
            <w:r>
              <w:rPr>
                <w:color w:val="000000" w:themeColor="text1"/>
              </w:rPr>
              <w:t>15,-</w:t>
            </w:r>
          </w:p>
        </w:tc>
        <w:tc>
          <w:tcPr>
            <w:tcW w:w="2168" w:type="dxa"/>
          </w:tcPr>
          <w:p w14:paraId="3CCBE133" w14:textId="6CC4CE95" w:rsidR="00D6648E" w:rsidRPr="00E37BC4" w:rsidRDefault="00524BEF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00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3 000,-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238BFE8B" w:rsidR="00D6648E" w:rsidRPr="00BB7E42" w:rsidRDefault="00524BEF" w:rsidP="00762511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00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3 000,-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3C8A124D" w14:textId="77777777" w:rsidR="001B1E6B" w:rsidRPr="001B1E6B" w:rsidRDefault="001B1E6B" w:rsidP="001B1E6B"/>
    <w:p w14:paraId="5BA9B36A" w14:textId="0D7883F7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524BEF" w:rsidRPr="00524BEF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 000,-"/>
            </w:textInput>
          </w:ffData>
        </w:fldChar>
      </w:r>
      <w:r w:rsidR="00524BEF" w:rsidRPr="00524BEF">
        <w:rPr>
          <w:b/>
          <w:bCs/>
          <w:color w:val="000000" w:themeColor="text1"/>
        </w:rPr>
        <w:instrText xml:space="preserve"> FORMTEXT </w:instrText>
      </w:r>
      <w:r w:rsidR="00524BEF" w:rsidRPr="00524BEF">
        <w:rPr>
          <w:b/>
          <w:bCs/>
          <w:color w:val="000000" w:themeColor="text1"/>
        </w:rPr>
      </w:r>
      <w:r w:rsidR="00524BEF" w:rsidRPr="00524BEF">
        <w:rPr>
          <w:b/>
          <w:bCs/>
          <w:color w:val="000000" w:themeColor="text1"/>
        </w:rPr>
        <w:fldChar w:fldCharType="separate"/>
      </w:r>
      <w:r w:rsidR="00524BEF" w:rsidRPr="00524BEF">
        <w:rPr>
          <w:b/>
          <w:bCs/>
          <w:noProof/>
          <w:color w:val="000000" w:themeColor="text1"/>
        </w:rPr>
        <w:t>3 000,-</w:t>
      </w:r>
      <w:r w:rsidR="00524BEF" w:rsidRPr="00524BEF">
        <w:rPr>
          <w:b/>
          <w:bCs/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F90159" w:rsidRPr="00512D0E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6 872,80"/>
            </w:textInput>
          </w:ffData>
        </w:fldChar>
      </w:r>
      <w:r w:rsidR="00F90159" w:rsidRPr="00512D0E">
        <w:rPr>
          <w:b/>
          <w:bCs/>
          <w:color w:val="000000" w:themeColor="text1"/>
        </w:rPr>
        <w:instrText xml:space="preserve"> FORMTEXT </w:instrText>
      </w:r>
      <w:r w:rsidR="00F90159" w:rsidRPr="00512D0E">
        <w:rPr>
          <w:b/>
          <w:bCs/>
          <w:color w:val="000000" w:themeColor="text1"/>
        </w:rPr>
      </w:r>
      <w:r w:rsidR="00F90159" w:rsidRPr="00512D0E">
        <w:rPr>
          <w:b/>
          <w:bCs/>
          <w:color w:val="000000" w:themeColor="text1"/>
        </w:rPr>
        <w:fldChar w:fldCharType="separate"/>
      </w:r>
      <w:r w:rsidR="00F90159" w:rsidRPr="00512D0E">
        <w:rPr>
          <w:b/>
          <w:bCs/>
          <w:noProof/>
          <w:color w:val="000000" w:themeColor="text1"/>
        </w:rPr>
        <w:t>6 872,80</w:t>
      </w:r>
      <w:r w:rsidR="00F90159" w:rsidRPr="00512D0E">
        <w:rPr>
          <w:b/>
          <w:bCs/>
          <w:color w:val="000000" w:themeColor="text1"/>
        </w:rPr>
        <w:fldChar w:fldCharType="end"/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171C7CB4" w:rsidR="00EC7437" w:rsidRPr="00E96F7D" w:rsidRDefault="00F1404A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2 727,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32 727,60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A739F55" w14:textId="73872D04" w:rsidR="00EC7437" w:rsidRPr="00E96F7D" w:rsidRDefault="009475FB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00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3 000,-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30B43B60" w14:textId="3A7079AB" w:rsidR="00EC7437" w:rsidRPr="00E96F7D" w:rsidRDefault="00612CA0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 727,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29 727,60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0D568DE5" w14:textId="75E05FF8" w:rsidR="00EC7437" w:rsidRPr="00E96F7D" w:rsidRDefault="001F711C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 863,8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14 863,80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 xml:space="preserve">ny hrazené Příjemcem, výše veřejných prostředků a výše </w:t>
      </w:r>
      <w:r w:rsidR="006C0846">
        <w:lastRenderedPageBreak/>
        <w:t>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4C74141D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624090">
        <w:rPr>
          <w:color w:val="000000" w:themeColor="text1"/>
        </w:rPr>
        <w:t>30</w:t>
      </w:r>
      <w:r w:rsidR="0020342C">
        <w:rPr>
          <w:color w:val="000000" w:themeColor="text1"/>
        </w:rPr>
        <w:t>.</w:t>
      </w:r>
      <w:r w:rsidR="00624090">
        <w:rPr>
          <w:color w:val="000000" w:themeColor="text1"/>
        </w:rPr>
        <w:t>4</w:t>
      </w:r>
      <w:r w:rsidR="0020342C">
        <w:rPr>
          <w:color w:val="000000" w:themeColor="text1"/>
        </w:rPr>
        <w:t>.2025</w:t>
      </w:r>
      <w:r w:rsidR="0020342C" w:rsidRPr="00401139">
        <w:rPr>
          <w:color w:val="000000" w:themeColor="text1"/>
        </w:rPr>
        <w:t xml:space="preserve"> do </w:t>
      </w:r>
      <w:r w:rsidR="00624090">
        <w:rPr>
          <w:color w:val="000000" w:themeColor="text1"/>
        </w:rPr>
        <w:t>3</w:t>
      </w:r>
      <w:r w:rsidR="0020342C">
        <w:rPr>
          <w:color w:val="000000" w:themeColor="text1"/>
        </w:rPr>
        <w:t>1.</w:t>
      </w:r>
      <w:r w:rsidR="00624090">
        <w:rPr>
          <w:color w:val="000000" w:themeColor="text1"/>
        </w:rPr>
        <w:t>12</w:t>
      </w:r>
      <w:r w:rsidR="0020342C">
        <w:rPr>
          <w:color w:val="000000" w:themeColor="text1"/>
        </w:rPr>
        <w:t>.2025.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09AB3C49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79240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Liberec, Praha    "/>
            </w:textInput>
          </w:ffData>
        </w:fldChar>
      </w:r>
      <w:r w:rsidR="00792400">
        <w:rPr>
          <w:color w:val="000000" w:themeColor="text1"/>
        </w:rPr>
        <w:instrText xml:space="preserve"> FORMTEXT </w:instrText>
      </w:r>
      <w:r w:rsidR="00792400">
        <w:rPr>
          <w:color w:val="000000" w:themeColor="text1"/>
        </w:rPr>
      </w:r>
      <w:r w:rsidR="00792400">
        <w:rPr>
          <w:color w:val="000000" w:themeColor="text1"/>
        </w:rPr>
        <w:fldChar w:fldCharType="separate"/>
      </w:r>
      <w:r w:rsidR="00792400">
        <w:rPr>
          <w:noProof/>
          <w:color w:val="000000" w:themeColor="text1"/>
        </w:rPr>
        <w:t xml:space="preserve">Liberec, Praha    </w:t>
      </w:r>
      <w:r w:rsidR="00792400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16B37F74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050AC1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řístup k datům"/>
            </w:textInput>
          </w:ffData>
        </w:fldChar>
      </w:r>
      <w:r w:rsidR="00050AC1">
        <w:rPr>
          <w:color w:val="000000" w:themeColor="text1"/>
        </w:rPr>
        <w:instrText xml:space="preserve"> FORMTEXT </w:instrText>
      </w:r>
      <w:r w:rsidR="00050AC1">
        <w:rPr>
          <w:color w:val="000000" w:themeColor="text1"/>
        </w:rPr>
      </w:r>
      <w:r w:rsidR="00050AC1">
        <w:rPr>
          <w:color w:val="000000" w:themeColor="text1"/>
        </w:rPr>
        <w:fldChar w:fldCharType="separate"/>
      </w:r>
      <w:r w:rsidR="00050AC1">
        <w:rPr>
          <w:noProof/>
          <w:color w:val="000000" w:themeColor="text1"/>
        </w:rPr>
        <w:t>přístup k datům</w:t>
      </w:r>
      <w:r w:rsidR="00050AC1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lastRenderedPageBreak/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</w:t>
      </w: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396471E" w14:textId="77777777" w:rsidR="00C07078" w:rsidRDefault="008B5C4F" w:rsidP="00C07078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27330A1D" w14:textId="77777777" w:rsidR="00C07078" w:rsidRDefault="00C07078" w:rsidP="00C07078">
      <w:pPr>
        <w:pStyle w:val="Odstavecseseznamem"/>
      </w:pPr>
    </w:p>
    <w:p w14:paraId="0E5D22BA" w14:textId="2E169671" w:rsidR="006B7781" w:rsidRDefault="006B7781" w:rsidP="00C07078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6AB7AF39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987D11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25.4.2025"/>
                  </w:textInput>
                </w:ffData>
              </w:fldChar>
            </w:r>
            <w:bookmarkStart w:id="2" w:name="Text43"/>
            <w:r w:rsidR="00987D11">
              <w:rPr>
                <w:sz w:val="24"/>
                <w:szCs w:val="24"/>
              </w:rPr>
              <w:instrText xml:space="preserve"> FORMTEXT </w:instrText>
            </w:r>
            <w:r w:rsidR="00987D11">
              <w:rPr>
                <w:sz w:val="24"/>
                <w:szCs w:val="24"/>
              </w:rPr>
            </w:r>
            <w:r w:rsidR="00987D11">
              <w:rPr>
                <w:sz w:val="24"/>
                <w:szCs w:val="24"/>
              </w:rPr>
              <w:fldChar w:fldCharType="separate"/>
            </w:r>
            <w:r w:rsidR="00987D11">
              <w:rPr>
                <w:noProof/>
                <w:sz w:val="24"/>
                <w:szCs w:val="24"/>
              </w:rPr>
              <w:t>25.4.2025</w:t>
            </w:r>
            <w:r w:rsidR="00987D11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248CD734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E72E2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antišek Zeman"/>
                  </w:textInput>
                </w:ffData>
              </w:fldChar>
            </w:r>
            <w:r w:rsidR="00E72E25">
              <w:rPr>
                <w:sz w:val="24"/>
                <w:szCs w:val="24"/>
              </w:rPr>
              <w:instrText xml:space="preserve"> FORMTEXT </w:instrText>
            </w:r>
            <w:r w:rsidR="00E72E25">
              <w:rPr>
                <w:sz w:val="24"/>
                <w:szCs w:val="24"/>
              </w:rPr>
            </w:r>
            <w:r w:rsidR="00E72E25">
              <w:rPr>
                <w:sz w:val="24"/>
                <w:szCs w:val="24"/>
              </w:rPr>
              <w:fldChar w:fldCharType="separate"/>
            </w:r>
            <w:r w:rsidR="00E72E25">
              <w:rPr>
                <w:noProof/>
                <w:sz w:val="24"/>
                <w:szCs w:val="24"/>
              </w:rPr>
              <w:t>František Zeman</w:t>
            </w:r>
            <w:r w:rsidR="00E72E25">
              <w:rPr>
                <w:sz w:val="24"/>
                <w:szCs w:val="24"/>
              </w:rPr>
              <w:fldChar w:fldCharType="end"/>
            </w:r>
          </w:p>
          <w:p w14:paraId="6F4BC2CF" w14:textId="283F7928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F4335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ární zástupce"/>
                  </w:textInput>
                </w:ffData>
              </w:fldChar>
            </w:r>
            <w:r w:rsidR="00F43356">
              <w:rPr>
                <w:sz w:val="24"/>
                <w:szCs w:val="24"/>
              </w:rPr>
              <w:instrText xml:space="preserve"> FORMTEXT </w:instrText>
            </w:r>
            <w:r w:rsidR="00F43356">
              <w:rPr>
                <w:sz w:val="24"/>
                <w:szCs w:val="24"/>
              </w:rPr>
            </w:r>
            <w:r w:rsidR="00F43356">
              <w:rPr>
                <w:sz w:val="24"/>
                <w:szCs w:val="24"/>
              </w:rPr>
              <w:fldChar w:fldCharType="separate"/>
            </w:r>
            <w:r w:rsidR="00F43356">
              <w:rPr>
                <w:noProof/>
                <w:sz w:val="24"/>
                <w:szCs w:val="24"/>
              </w:rPr>
              <w:t>statutární zástupce</w:t>
            </w:r>
            <w:r w:rsidR="00F43356">
              <w:rPr>
                <w:sz w:val="24"/>
                <w:szCs w:val="24"/>
              </w:rPr>
              <w:fldChar w:fldCharType="end"/>
            </w:r>
          </w:p>
          <w:p w14:paraId="487D8459" w14:textId="0420C6D1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2B239AB7" w14:textId="77777777" w:rsidR="00F43356" w:rsidRDefault="00F43356" w:rsidP="00F43356">
            <w:pPr>
              <w:pStyle w:val="Zkladntext"/>
              <w:rPr>
                <w:lang w:val="cs-CZ" w:eastAsia="cs-CZ"/>
              </w:rPr>
            </w:pPr>
          </w:p>
          <w:p w14:paraId="7DAB1727" w14:textId="77777777" w:rsidR="00F43356" w:rsidRPr="00F43356" w:rsidRDefault="00F43356" w:rsidP="00F43356">
            <w:pPr>
              <w:pStyle w:val="Zkladntext"/>
              <w:rPr>
                <w:lang w:val="cs-CZ" w:eastAsia="cs-CZ"/>
              </w:rPr>
            </w:pPr>
          </w:p>
          <w:p w14:paraId="124B1BA2" w14:textId="3D6DDEAA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954FE0">
              <w:rPr>
                <w:noProof/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="00987D11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24.4.2025"/>
                  </w:textInput>
                </w:ffData>
              </w:fldChar>
            </w:r>
            <w:bookmarkStart w:id="3" w:name="Text45"/>
            <w:r w:rsidR="00987D11">
              <w:rPr>
                <w:sz w:val="24"/>
                <w:szCs w:val="24"/>
              </w:rPr>
              <w:instrText xml:space="preserve"> FORMTEXT </w:instrText>
            </w:r>
            <w:r w:rsidR="00987D11">
              <w:rPr>
                <w:sz w:val="24"/>
                <w:szCs w:val="24"/>
              </w:rPr>
            </w:r>
            <w:r w:rsidR="00987D11">
              <w:rPr>
                <w:sz w:val="24"/>
                <w:szCs w:val="24"/>
              </w:rPr>
              <w:fldChar w:fldCharType="separate"/>
            </w:r>
            <w:r w:rsidR="00987D11">
              <w:rPr>
                <w:noProof/>
                <w:sz w:val="24"/>
                <w:szCs w:val="24"/>
              </w:rPr>
              <w:t>24.4.2025</w:t>
            </w:r>
            <w:r w:rsidR="00987D11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3C53" w14:textId="77777777" w:rsidR="00030B76" w:rsidRDefault="00030B76" w:rsidP="00DC542A">
      <w:pPr>
        <w:spacing w:line="240" w:lineRule="auto"/>
      </w:pPr>
      <w:r>
        <w:separator/>
      </w:r>
    </w:p>
  </w:endnote>
  <w:endnote w:type="continuationSeparator" w:id="0">
    <w:p w14:paraId="5FC80AE4" w14:textId="77777777" w:rsidR="00030B76" w:rsidRDefault="00030B76" w:rsidP="00DC542A">
      <w:pPr>
        <w:spacing w:line="240" w:lineRule="auto"/>
      </w:pPr>
      <w:r>
        <w:continuationSeparator/>
      </w:r>
    </w:p>
  </w:endnote>
  <w:endnote w:type="continuationNotice" w:id="1">
    <w:p w14:paraId="526C7B74" w14:textId="77777777" w:rsidR="00030B76" w:rsidRDefault="00030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A413" w14:textId="77777777" w:rsidR="00030B76" w:rsidRDefault="00030B76" w:rsidP="00DC542A">
      <w:pPr>
        <w:spacing w:line="240" w:lineRule="auto"/>
      </w:pPr>
      <w:r>
        <w:separator/>
      </w:r>
    </w:p>
  </w:footnote>
  <w:footnote w:type="continuationSeparator" w:id="0">
    <w:p w14:paraId="215C6E48" w14:textId="77777777" w:rsidR="00030B76" w:rsidRDefault="00030B76" w:rsidP="00DC542A">
      <w:pPr>
        <w:spacing w:line="240" w:lineRule="auto"/>
      </w:pPr>
      <w:r>
        <w:continuationSeparator/>
      </w:r>
    </w:p>
  </w:footnote>
  <w:footnote w:type="continuationNotice" w:id="1">
    <w:p w14:paraId="71B5EBFE" w14:textId="77777777" w:rsidR="00030B76" w:rsidRDefault="00030B76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41FDBC46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</w:t>
        </w:r>
        <w:r w:rsidR="009917D9"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AC1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C7F3D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021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1F711C"/>
    <w:rsid w:val="002002EE"/>
    <w:rsid w:val="0020342C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27F4E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2429"/>
    <w:rsid w:val="002E40A5"/>
    <w:rsid w:val="002E5052"/>
    <w:rsid w:val="002F48DE"/>
    <w:rsid w:val="003017D0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1B0A"/>
    <w:rsid w:val="00372746"/>
    <w:rsid w:val="00376AF1"/>
    <w:rsid w:val="00387CB3"/>
    <w:rsid w:val="00393E36"/>
    <w:rsid w:val="003A1D1B"/>
    <w:rsid w:val="003A3FDF"/>
    <w:rsid w:val="003A4298"/>
    <w:rsid w:val="003B3B04"/>
    <w:rsid w:val="003B4461"/>
    <w:rsid w:val="003C1180"/>
    <w:rsid w:val="003C1832"/>
    <w:rsid w:val="003C2B04"/>
    <w:rsid w:val="003C5B14"/>
    <w:rsid w:val="003C7354"/>
    <w:rsid w:val="003D068F"/>
    <w:rsid w:val="003D08FF"/>
    <w:rsid w:val="003D7DC0"/>
    <w:rsid w:val="003E199E"/>
    <w:rsid w:val="003E3849"/>
    <w:rsid w:val="003E49E7"/>
    <w:rsid w:val="003E5C78"/>
    <w:rsid w:val="003E60CC"/>
    <w:rsid w:val="003E6224"/>
    <w:rsid w:val="003F3E86"/>
    <w:rsid w:val="003F4EF1"/>
    <w:rsid w:val="003F6D52"/>
    <w:rsid w:val="003F79EE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38CA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0DA6"/>
    <w:rsid w:val="00524BE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556EF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E550C"/>
    <w:rsid w:val="005F0214"/>
    <w:rsid w:val="005F1E12"/>
    <w:rsid w:val="00606A65"/>
    <w:rsid w:val="00606ED4"/>
    <w:rsid w:val="006124C3"/>
    <w:rsid w:val="00612CA0"/>
    <w:rsid w:val="00613787"/>
    <w:rsid w:val="0061863A"/>
    <w:rsid w:val="00620128"/>
    <w:rsid w:val="0062379F"/>
    <w:rsid w:val="00623F12"/>
    <w:rsid w:val="00624090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683D"/>
    <w:rsid w:val="006C7B35"/>
    <w:rsid w:val="006D0F92"/>
    <w:rsid w:val="006D10C8"/>
    <w:rsid w:val="006E327C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104F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2400"/>
    <w:rsid w:val="00793CB8"/>
    <w:rsid w:val="00793E6D"/>
    <w:rsid w:val="007946F2"/>
    <w:rsid w:val="007978A7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966A7"/>
    <w:rsid w:val="00897EF8"/>
    <w:rsid w:val="008A0F7C"/>
    <w:rsid w:val="008A1CCF"/>
    <w:rsid w:val="008A51EA"/>
    <w:rsid w:val="008A759E"/>
    <w:rsid w:val="008A75B5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6E65"/>
    <w:rsid w:val="009272B0"/>
    <w:rsid w:val="009307FB"/>
    <w:rsid w:val="00931992"/>
    <w:rsid w:val="009337CF"/>
    <w:rsid w:val="009376A1"/>
    <w:rsid w:val="0094266C"/>
    <w:rsid w:val="00944F52"/>
    <w:rsid w:val="0094604C"/>
    <w:rsid w:val="009475FB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4BBB"/>
    <w:rsid w:val="00986B27"/>
    <w:rsid w:val="00987A97"/>
    <w:rsid w:val="00987D11"/>
    <w:rsid w:val="009917D9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068B0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04EF"/>
    <w:rsid w:val="00B61143"/>
    <w:rsid w:val="00B64876"/>
    <w:rsid w:val="00B655CB"/>
    <w:rsid w:val="00B659E0"/>
    <w:rsid w:val="00B7478D"/>
    <w:rsid w:val="00B818E0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078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5716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69F4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6D8C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72E2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2D69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04A"/>
    <w:rsid w:val="00F14AE8"/>
    <w:rsid w:val="00F2075C"/>
    <w:rsid w:val="00F2075D"/>
    <w:rsid w:val="00F25DF2"/>
    <w:rsid w:val="00F309E0"/>
    <w:rsid w:val="00F31534"/>
    <w:rsid w:val="00F325F1"/>
    <w:rsid w:val="00F37F59"/>
    <w:rsid w:val="00F43356"/>
    <w:rsid w:val="00F43DAE"/>
    <w:rsid w:val="00F45777"/>
    <w:rsid w:val="00F46A38"/>
    <w:rsid w:val="00F51966"/>
    <w:rsid w:val="00F540DD"/>
    <w:rsid w:val="00F54DE4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2CEA"/>
    <w:rsid w:val="00F747DC"/>
    <w:rsid w:val="00F90159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623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purl.org/dc/elements/1.1/"/>
    <ds:schemaRef ds:uri="http://purl.org/dc/dcmitype/"/>
    <ds:schemaRef ds:uri="6e0fb9b0-b993-473a-b020-0e26f7bcde7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14BDBC-DBD6-40E7-97C5-F4A65C2E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063B9-D66A-4A8B-A352-0FCDD93E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2497</Words>
  <Characters>14739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2025-04-28T10:18:00Z</dcterms:created>
  <dcterms:modified xsi:type="dcterms:W3CDTF">2025-04-28T10:18:00Z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