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2E59FD35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012B39">
        <w:rPr>
          <w:rFonts w:ascii="Arial" w:hAnsi="Arial"/>
          <w:sz w:val="20"/>
          <w:szCs w:val="20"/>
        </w:rPr>
        <w:t>3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6DF790D6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</w:p>
    <w:p w14:paraId="6F200A16" w14:textId="77777777" w:rsidR="00DE729F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  <w:t>Martin Konečný</w:t>
      </w:r>
      <w:r w:rsidRPr="00F2667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 xml:space="preserve">ředseda </w:t>
      </w:r>
      <w:r>
        <w:rPr>
          <w:rFonts w:ascii="Arial" w:hAnsi="Arial" w:cs="Arial"/>
          <w:sz w:val="20"/>
          <w:szCs w:val="20"/>
        </w:rPr>
        <w:t>p</w:t>
      </w:r>
      <w:r w:rsidRPr="00F2667B">
        <w:rPr>
          <w:rFonts w:ascii="Arial" w:hAnsi="Arial" w:cs="Arial"/>
          <w:sz w:val="20"/>
          <w:szCs w:val="20"/>
        </w:rPr>
        <w:t>ředstavenstva</w:t>
      </w:r>
    </w:p>
    <w:p w14:paraId="089CFDA5" w14:textId="31A30448" w:rsidR="00B63DA9" w:rsidRPr="00F2667B" w:rsidRDefault="00DE729F" w:rsidP="00DE729F">
      <w:pPr>
        <w:pStyle w:val="RLdajeosmluvnstran"/>
        <w:spacing w:before="120" w:line="240" w:lineRule="auto"/>
        <w:ind w:left="141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Jaroslav Novák</w:t>
      </w:r>
      <w:r w:rsidR="00B63DA9" w:rsidRPr="00F2667B">
        <w:rPr>
          <w:rFonts w:ascii="Arial" w:hAnsi="Arial" w:cs="Arial"/>
          <w:sz w:val="20"/>
          <w:szCs w:val="20"/>
        </w:rPr>
        <w:t xml:space="preserve">, </w:t>
      </w:r>
      <w:r w:rsidR="00B63DA9">
        <w:rPr>
          <w:rFonts w:ascii="Arial" w:hAnsi="Arial" w:cs="Arial"/>
          <w:sz w:val="20"/>
          <w:szCs w:val="20"/>
        </w:rPr>
        <w:t>m</w:t>
      </w:r>
      <w:r w:rsidR="00B63DA9" w:rsidRPr="00F2667B">
        <w:rPr>
          <w:rFonts w:ascii="Arial" w:hAnsi="Arial" w:cs="Arial"/>
          <w:sz w:val="20"/>
          <w:szCs w:val="20"/>
        </w:rPr>
        <w:t xml:space="preserve">ístopředseda </w:t>
      </w:r>
      <w:r w:rsidR="00B63DA9">
        <w:rPr>
          <w:rFonts w:ascii="Arial" w:hAnsi="Arial" w:cs="Arial"/>
          <w:sz w:val="20"/>
          <w:szCs w:val="20"/>
        </w:rPr>
        <w:t>p</w:t>
      </w:r>
      <w:r w:rsidR="00B63DA9" w:rsidRPr="00F2667B">
        <w:rPr>
          <w:rFonts w:ascii="Arial" w:hAnsi="Arial" w:cs="Arial"/>
          <w:sz w:val="20"/>
          <w:szCs w:val="20"/>
        </w:rPr>
        <w:t>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sp.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4D7C6564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 sp.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lastRenderedPageBreak/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598912E5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veřejných zakázek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57EA72B" w14:textId="1498F4B8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Zpracování zadávací dokumentace nadlimitní veřejné zakázky „</w:t>
      </w:r>
      <w:r w:rsidR="00012B39" w:rsidRPr="00012B39">
        <w:rPr>
          <w:rFonts w:ascii="Arial" w:hAnsi="Arial" w:cs="Arial"/>
          <w:sz w:val="20"/>
          <w:szCs w:val="20"/>
        </w:rPr>
        <w:t>Rozšíření stávající bezpečnostní dohledové infrastruktury a zavedení nástrojů pro pokročilé řízení a monitoring identit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3D846897" w14:textId="74054F2C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Administrace VZ „</w:t>
      </w:r>
      <w:r w:rsidR="00012B39" w:rsidRPr="00012B39">
        <w:rPr>
          <w:rFonts w:ascii="Arial" w:hAnsi="Arial" w:cs="Arial"/>
          <w:sz w:val="20"/>
          <w:szCs w:val="20"/>
        </w:rPr>
        <w:t>Rozšíření stávající bezpečnostní dohledové infrastruktury a zavedení nástrojů pro pokročilé řízení a monitoring identit</w:t>
      </w:r>
      <w:r w:rsidRPr="00B51C72">
        <w:rPr>
          <w:rFonts w:ascii="Arial" w:hAnsi="Arial" w:cs="Arial"/>
          <w:sz w:val="20"/>
          <w:szCs w:val="20"/>
        </w:rPr>
        <w:t>“.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89A2D0A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Zadávací dokumentace:</w:t>
      </w:r>
    </w:p>
    <w:p w14:paraId="603F28FC" w14:textId="48A24FF3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zadávací dokumentace a ostatních dokumentů veřejné zakázky – zpracování a kompletace zadávací dokumentace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dalších příloh vč. revize tech. specifikace.</w:t>
      </w:r>
    </w:p>
    <w:p w14:paraId="7214399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Návrh a vytvoření technických kvalifikačních předpokladů – kompletní návrh a příprava technických kvalifikačních předpokladů.</w:t>
      </w:r>
    </w:p>
    <w:p w14:paraId="0CF335B9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obchodních podmínek / závazného návrhu smlouvy – zpracování návrhu závazných obchodních podmínek (Kupní smlouva / Smlouva o dílo / Smlouva o poskytování podpory a servisu).</w:t>
      </w:r>
    </w:p>
    <w:p w14:paraId="0BB9F0A1" w14:textId="0EBE718E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Zapracování připomínek – kompletní zapracování požadavků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 xml:space="preserve">připomínek </w:t>
      </w:r>
      <w:r>
        <w:rPr>
          <w:rFonts w:ascii="Arial" w:hAnsi="Arial" w:cs="Arial"/>
          <w:sz w:val="20"/>
          <w:szCs w:val="20"/>
          <w:lang w:eastAsia="en-US"/>
        </w:rPr>
        <w:t xml:space="preserve">Objednatele </w:t>
      </w:r>
      <w:r w:rsidRPr="00B51C72">
        <w:rPr>
          <w:rFonts w:ascii="Arial" w:hAnsi="Arial" w:cs="Arial"/>
          <w:sz w:val="20"/>
          <w:szCs w:val="20"/>
          <w:lang w:eastAsia="en-US"/>
        </w:rPr>
        <w:t>a/nebo poskytovatele dotace.</w:t>
      </w:r>
    </w:p>
    <w:p w14:paraId="5FCD95DD" w14:textId="7B514785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veřejné zakázky:</w:t>
      </w:r>
    </w:p>
    <w:p w14:paraId="311B86B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Uveřejnění veřejné zakázky v TED, ve VVZ a na el. profilu zadavatele. </w:t>
      </w:r>
    </w:p>
    <w:p w14:paraId="080CA1EF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Vysvětlení zadávací dokumentace – vysvětlení, zveřejnění a evidence vysvětlení zadávací dokumentace vč. případných změn termínů pro podání nabídek.</w:t>
      </w:r>
    </w:p>
    <w:p w14:paraId="67ACF3D0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otevírání nabídek prostřednictvím el. nástroje zadavatele.</w:t>
      </w:r>
    </w:p>
    <w:p w14:paraId="71124FE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hodnocení nabídek, tj. jednání hodnotící komise vč. zpracování protokolů z jednání.</w:t>
      </w:r>
    </w:p>
    <w:p w14:paraId="6690F702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podkladů pro hodnocení nabídek hodnotící komisí. Příprava pomocných tabulek a údajů pro hodnocení nabídek.</w:t>
      </w:r>
    </w:p>
    <w:p w14:paraId="626105A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Kontrola splnění kvalifikace a dalších náležitostí nabídky dodavatele s ekonomicky nejvýhodnější nabídkou včetně vypracování písemného protokolu o posouzení kvalifikace a žádostí o doplnění kvalifikace a jejich odeslání jako podkladu pro jednání a rozhodování hodnotící komise.</w:t>
      </w:r>
    </w:p>
    <w:p w14:paraId="3F23CB03" w14:textId="7C09085F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Účast na hodnocení jako řádný člen hodnotící komise (pouze v případě zájmu </w:t>
      </w:r>
      <w:r>
        <w:rPr>
          <w:rFonts w:ascii="Arial" w:hAnsi="Arial" w:cs="Arial"/>
          <w:sz w:val="20"/>
          <w:szCs w:val="20"/>
          <w:lang w:eastAsia="en-US"/>
        </w:rPr>
        <w:t>Objednatele</w:t>
      </w:r>
      <w:r w:rsidRPr="00B51C72">
        <w:rPr>
          <w:rFonts w:ascii="Arial" w:hAnsi="Arial" w:cs="Arial"/>
          <w:sz w:val="20"/>
          <w:szCs w:val="20"/>
          <w:lang w:eastAsia="en-US"/>
        </w:rPr>
        <w:t>).</w:t>
      </w:r>
    </w:p>
    <w:p w14:paraId="5B301405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dalších podkladů (žádostí) pro případné vysvětlení nabídek nebo odůvodnění mimořádně nízké nabídkové ceny podle pokynů hodnotící komise.</w:t>
      </w:r>
    </w:p>
    <w:p w14:paraId="5E7CED2A" w14:textId="06C8DD3A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lastRenderedPageBreak/>
        <w:t>Příprava Rozhodnutí a oznámení zadavatele o výběru dodavatele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odeslání rozhodnutí zadavatele o výběru dodavatele všem dotčeným účastníkům.</w:t>
      </w:r>
    </w:p>
    <w:p w14:paraId="79A34CE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vyloučení účastníků, jejichž nabídky nesplnily požadavky zadavatele v průběhu výběrového řízení a odeslání podepsaného rozhodnutí, případně uveřejnění na profilu zadavatele.</w:t>
      </w:r>
    </w:p>
    <w:p w14:paraId="08CB3D27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Zajištění součinnosti vítězného dodavatele před podpisem smlouvy vč. vyžádání a kontroly všech povinných dokladů.</w:t>
      </w:r>
    </w:p>
    <w:p w14:paraId="77F5A9DA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smlouvy a její příprava k podpisu oběma stranami.</w:t>
      </w:r>
    </w:p>
    <w:p w14:paraId="2682023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Oznámení výsledku veřejné zakázky v TED, ve VVZ a na profilu zadavatele.</w:t>
      </w:r>
    </w:p>
    <w:p w14:paraId="649CA351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Písemné zprávy zadavatele a její zveřejnění na profilu zadavatele.</w:t>
      </w:r>
    </w:p>
    <w:p w14:paraId="68324D5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podkladů a předání archivní dokumentace o průběhu výběrového řízení zadavateli.</w:t>
      </w:r>
    </w:p>
    <w:p w14:paraId="246DCEAC" w14:textId="6CCEDB0C" w:rsid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Průběžné předávání podkladů VZ ke kontrole poskytovateli dotace vč. zapracování případných</w:t>
      </w:r>
      <w:r>
        <w:rPr>
          <w:rFonts w:ascii="Arial" w:hAnsi="Arial" w:cs="Arial"/>
        </w:rPr>
        <w:t xml:space="preserve"> připomínek.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4E34C2B3" w:rsidR="00DE729F" w:rsidRPr="00DE729F" w:rsidRDefault="00DE729F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Zpracování kompletní ZD – nadlimitní VZ</w:t>
            </w:r>
          </w:p>
        </w:tc>
        <w:tc>
          <w:tcPr>
            <w:tcW w:w="2828" w:type="dxa"/>
          </w:tcPr>
          <w:p w14:paraId="4C1E214B" w14:textId="77777777" w:rsidR="00DE729F" w:rsidRPr="00DE729F" w:rsidRDefault="00DE729F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78385C9D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Administrace VZ </w:t>
            </w:r>
            <w:r w:rsidRPr="00DE729F">
              <w:rPr>
                <w:rFonts w:ascii="Arial" w:hAnsi="Arial" w:cs="Arial"/>
                <w:sz w:val="20"/>
                <w:szCs w:val="20"/>
              </w:rPr>
              <w:t>– nadlimitní VZ</w:t>
            </w:r>
          </w:p>
        </w:tc>
        <w:tc>
          <w:tcPr>
            <w:tcW w:w="2828" w:type="dxa"/>
          </w:tcPr>
          <w:p w14:paraId="3DF10949" w14:textId="2211C4CC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</w:t>
      </w:r>
      <w:r>
        <w:rPr>
          <w:rFonts w:ascii="Arial" w:hAnsi="Arial" w:cs="Arial"/>
          <w:sz w:val="20"/>
          <w:szCs w:val="20"/>
          <w:lang w:eastAsia="en-US"/>
        </w:rPr>
        <w:lastRenderedPageBreak/>
        <w:t xml:space="preserve">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012B39">
      <w:pPr>
        <w:pStyle w:val="RLProhlensmluvnchstran"/>
        <w:jc w:val="lef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012B39" w:rsidRPr="009E4C64" w14:paraId="3677CAA7" w14:textId="77777777" w:rsidTr="002C7A97">
        <w:trPr>
          <w:jc w:val="center"/>
        </w:trPr>
        <w:tc>
          <w:tcPr>
            <w:tcW w:w="4538" w:type="dxa"/>
          </w:tcPr>
          <w:p w14:paraId="1F885B86" w14:textId="77777777" w:rsidR="00012B39" w:rsidRPr="009E4C64" w:rsidRDefault="00012B39" w:rsidP="002C7A97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D2BDB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693839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Ústí nad Labem 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042B6AD5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0AE2B59" w14:textId="77777777" w:rsidR="00012B39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4C1B121" w14:textId="77777777" w:rsidR="00012B39" w:rsidRPr="009E4C64" w:rsidRDefault="00012B39" w:rsidP="002C7A97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15B4F085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97BD443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7E8B0626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012B39" w:rsidRPr="009E4C64" w14:paraId="49069C95" w14:textId="77777777" w:rsidTr="002C7A97">
        <w:trPr>
          <w:jc w:val="center"/>
        </w:trPr>
        <w:tc>
          <w:tcPr>
            <w:tcW w:w="4538" w:type="dxa"/>
          </w:tcPr>
          <w:p w14:paraId="2CA64368" w14:textId="77777777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0174C55A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13D6C8A4" w14:textId="77777777" w:rsidR="006B0F17" w:rsidRDefault="006B0F17" w:rsidP="006B0F17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F7914C6" w14:textId="01116831" w:rsidR="006B0F17" w:rsidRDefault="006B0F17" w:rsidP="006B0F17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Konečný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331EB829" w14:textId="3D1F97D1" w:rsidR="006B0F17" w:rsidRPr="00F2667B" w:rsidRDefault="006B0F17" w:rsidP="006B0F17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Jaroslav Novák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667B">
              <w:rPr>
                <w:rFonts w:ascii="Arial" w:hAnsi="Arial" w:cs="Arial"/>
                <w:sz w:val="20"/>
                <w:szCs w:val="20"/>
              </w:rPr>
              <w:t xml:space="preserve">ístopředseda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2667B">
              <w:rPr>
                <w:rFonts w:ascii="Arial" w:hAnsi="Arial" w:cs="Arial"/>
                <w:sz w:val="20"/>
                <w:szCs w:val="20"/>
              </w:rPr>
              <w:t>ředstavenstva</w:t>
            </w:r>
          </w:p>
          <w:p w14:paraId="2A1BDA93" w14:textId="54DF241B" w:rsidR="00012B39" w:rsidRPr="009E4C64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9D0CCD" w14:textId="77777777" w:rsidR="00012B39" w:rsidRPr="0041269A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900CE51" w14:textId="77777777" w:rsidR="00012B39" w:rsidRPr="00B51C72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22BD38F9" w14:textId="77777777" w:rsidR="006B0F17" w:rsidRDefault="006B0F17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7DBF4" w14:textId="3186FDA4" w:rsidR="00012B39" w:rsidRDefault="00012B39" w:rsidP="002C7A97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65BE1A5F" w14:textId="77777777" w:rsidR="00012B39" w:rsidRPr="00BE6B3B" w:rsidRDefault="00012B39" w:rsidP="002C7A97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10E1AB3" w14:textId="77777777" w:rsidR="00012B39" w:rsidRDefault="00012B39" w:rsidP="00012B39">
      <w:pPr>
        <w:pStyle w:val="RLProhlensmluvnchstran"/>
        <w:jc w:val="left"/>
        <w:rPr>
          <w:rFonts w:ascii="Arial" w:hAnsi="Arial" w:cs="Arial"/>
          <w:sz w:val="20"/>
        </w:rPr>
      </w:pPr>
    </w:p>
    <w:sectPr w:rsidR="00012B39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8DCF" w14:textId="77777777" w:rsidR="00C5136C" w:rsidRDefault="00C5136C" w:rsidP="009E4C64">
      <w:pPr>
        <w:spacing w:after="0" w:line="240" w:lineRule="auto"/>
      </w:pPr>
      <w:r>
        <w:separator/>
      </w:r>
    </w:p>
  </w:endnote>
  <w:endnote w:type="continuationSeparator" w:id="0">
    <w:p w14:paraId="06B72012" w14:textId="77777777" w:rsidR="00C5136C" w:rsidRDefault="00C5136C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DA0" w14:textId="77777777" w:rsidR="00C5136C" w:rsidRDefault="00C5136C" w:rsidP="009E4C64">
      <w:pPr>
        <w:spacing w:after="0" w:line="240" w:lineRule="auto"/>
      </w:pPr>
      <w:r>
        <w:separator/>
      </w:r>
    </w:p>
  </w:footnote>
  <w:footnote w:type="continuationSeparator" w:id="0">
    <w:p w14:paraId="1CA19CCE" w14:textId="77777777" w:rsidR="00C5136C" w:rsidRDefault="00C5136C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84.5pt;height:140.25pt" o:bullet="t">
        <v:imagedata r:id="rId1" o:title=""/>
      </v:shape>
    </w:pict>
  </w:numPicBullet>
  <w:numPicBullet w:numPicBulletId="1">
    <w:pict>
      <v:shape id="_x0000_i1051" type="#_x0000_t75" style="width:11.25pt;height:11.25pt" o:bullet="t">
        <v:imagedata r:id="rId2" o:title=""/>
      </v:shape>
    </w:pict>
  </w:numPicBullet>
  <w:numPicBullet w:numPicBulletId="2">
    <w:pict>
      <v:shape id="_x0000_i1052" type="#_x0000_t75" style="width:9pt;height:9pt" o:bullet="t">
        <v:imagedata r:id="rId3" o:title=""/>
      </v:shape>
    </w:pict>
  </w:numPicBullet>
  <w:numPicBullet w:numPicBulletId="3">
    <w:pict>
      <v:shape id="_x0000_i1053" type="#_x0000_t75" style="width:9pt;height:9pt" o:bullet="t">
        <v:imagedata r:id="rId4" o:title=""/>
      </v:shape>
    </w:pict>
  </w:numPicBullet>
  <w:numPicBullet w:numPicBulletId="4">
    <w:pict>
      <v:shape id="_x0000_i1054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2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2"/>
  </w:num>
  <w:num w:numId="2" w16cid:durableId="783967295">
    <w:abstractNumId w:val="18"/>
  </w:num>
  <w:num w:numId="3" w16cid:durableId="1020855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3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6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0"/>
  </w:num>
  <w:num w:numId="30" w16cid:durableId="313484781">
    <w:abstractNumId w:val="41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8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5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2B39"/>
    <w:rsid w:val="000173A7"/>
    <w:rsid w:val="00043036"/>
    <w:rsid w:val="0005128E"/>
    <w:rsid w:val="00074400"/>
    <w:rsid w:val="00080EAE"/>
    <w:rsid w:val="00081B6A"/>
    <w:rsid w:val="000C7C6F"/>
    <w:rsid w:val="00175161"/>
    <w:rsid w:val="00197E0E"/>
    <w:rsid w:val="001C68C8"/>
    <w:rsid w:val="001F527B"/>
    <w:rsid w:val="001F6622"/>
    <w:rsid w:val="0022448D"/>
    <w:rsid w:val="00240C3B"/>
    <w:rsid w:val="00252C4A"/>
    <w:rsid w:val="002805B8"/>
    <w:rsid w:val="00280A66"/>
    <w:rsid w:val="00287FA8"/>
    <w:rsid w:val="002915E2"/>
    <w:rsid w:val="00294B22"/>
    <w:rsid w:val="002A68DC"/>
    <w:rsid w:val="002A6B02"/>
    <w:rsid w:val="002A715A"/>
    <w:rsid w:val="002D4E7B"/>
    <w:rsid w:val="002F6056"/>
    <w:rsid w:val="002F7ADA"/>
    <w:rsid w:val="00326C9F"/>
    <w:rsid w:val="00344721"/>
    <w:rsid w:val="0037586E"/>
    <w:rsid w:val="003869AD"/>
    <w:rsid w:val="003947C1"/>
    <w:rsid w:val="003A6DE1"/>
    <w:rsid w:val="003D1004"/>
    <w:rsid w:val="003D5B4E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D190A"/>
    <w:rsid w:val="004F607B"/>
    <w:rsid w:val="00513A62"/>
    <w:rsid w:val="00517CE6"/>
    <w:rsid w:val="00533AEF"/>
    <w:rsid w:val="0055466F"/>
    <w:rsid w:val="0055760C"/>
    <w:rsid w:val="0056573D"/>
    <w:rsid w:val="00566DBB"/>
    <w:rsid w:val="0058163C"/>
    <w:rsid w:val="005C589B"/>
    <w:rsid w:val="005F5C34"/>
    <w:rsid w:val="0060181A"/>
    <w:rsid w:val="006660C8"/>
    <w:rsid w:val="00683B87"/>
    <w:rsid w:val="006A2FA6"/>
    <w:rsid w:val="006B0F17"/>
    <w:rsid w:val="006C4C12"/>
    <w:rsid w:val="007040F8"/>
    <w:rsid w:val="007369BB"/>
    <w:rsid w:val="007604E9"/>
    <w:rsid w:val="007D3767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A3343"/>
    <w:rsid w:val="009B0DA3"/>
    <w:rsid w:val="009B6346"/>
    <w:rsid w:val="009D07A6"/>
    <w:rsid w:val="009E4C64"/>
    <w:rsid w:val="009F0777"/>
    <w:rsid w:val="009F49D5"/>
    <w:rsid w:val="00A062D7"/>
    <w:rsid w:val="00A2580A"/>
    <w:rsid w:val="00A303D6"/>
    <w:rsid w:val="00A36DD4"/>
    <w:rsid w:val="00A37BD7"/>
    <w:rsid w:val="00A62FBF"/>
    <w:rsid w:val="00A75A7F"/>
    <w:rsid w:val="00A954DB"/>
    <w:rsid w:val="00AB4731"/>
    <w:rsid w:val="00AE4B5A"/>
    <w:rsid w:val="00B10147"/>
    <w:rsid w:val="00B1296F"/>
    <w:rsid w:val="00B17F48"/>
    <w:rsid w:val="00B20721"/>
    <w:rsid w:val="00B24CE6"/>
    <w:rsid w:val="00B37EEF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5136C"/>
    <w:rsid w:val="00C90257"/>
    <w:rsid w:val="00CA1B1D"/>
    <w:rsid w:val="00CC1090"/>
    <w:rsid w:val="00D073C7"/>
    <w:rsid w:val="00D5454A"/>
    <w:rsid w:val="00DC40BE"/>
    <w:rsid w:val="00DE729F"/>
    <w:rsid w:val="00E350D6"/>
    <w:rsid w:val="00E41D88"/>
    <w:rsid w:val="00EC64E9"/>
    <w:rsid w:val="00ED6DEB"/>
    <w:rsid w:val="00EF3BBF"/>
    <w:rsid w:val="00EF5F1C"/>
    <w:rsid w:val="00EF68A6"/>
    <w:rsid w:val="00F2076A"/>
    <w:rsid w:val="00F37183"/>
    <w:rsid w:val="00F57671"/>
    <w:rsid w:val="00F738B8"/>
    <w:rsid w:val="00F751F1"/>
    <w:rsid w:val="00F82259"/>
    <w:rsid w:val="00FA2D07"/>
    <w:rsid w:val="00FB6630"/>
    <w:rsid w:val="00F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E6D6-6841-4475-9A5D-7800DE239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0490F-8580-4B29-9DC0-E348827F84D7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7B335083-D2C8-4F9C-9BBB-60D4731E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6</cp:revision>
  <dcterms:created xsi:type="dcterms:W3CDTF">2025-01-17T07:57:00Z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