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5FF367BC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95598F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6968A4">
              <w:rPr>
                <w:rFonts w:cs="Georgia"/>
                <w:b/>
                <w:bCs/>
                <w:color w:val="000000"/>
                <w:sz w:val="43"/>
                <w:szCs w:val="43"/>
              </w:rPr>
              <w:t>055</w:t>
            </w:r>
          </w:p>
          <w:p w14:paraId="2F732358" w14:textId="40019F05" w:rsidR="00445B8D" w:rsidRPr="00445B8D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45B8D">
              <w:rPr>
                <w:rFonts w:cs="Georgia"/>
                <w:color w:val="000000"/>
                <w:sz w:val="20"/>
                <w:szCs w:val="20"/>
              </w:rPr>
              <w:t>Číslo jednací</w:t>
            </w:r>
            <w:r>
              <w:rPr>
                <w:rFonts w:cs="Georgia"/>
                <w:color w:val="000000"/>
                <w:sz w:val="20"/>
                <w:szCs w:val="20"/>
              </w:rPr>
              <w:t xml:space="preserve">: </w:t>
            </w:r>
            <w:r w:rsidRPr="00E8790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ŘVC/</w:t>
            </w:r>
            <w:r w:rsidR="00E87902" w:rsidRPr="00E87902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148/2025/OPR</w:t>
            </w:r>
            <w:r w:rsidR="00BC3C6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-1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52D09B40" w:rsidR="00EF5B87" w:rsidRPr="004249BA" w:rsidRDefault="00B80703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4249BA">
              <w:rPr>
                <w:rFonts w:cs="Georgia"/>
                <w:b/>
                <w:bCs/>
                <w:color w:val="000000"/>
              </w:rPr>
              <w:t xml:space="preserve">GIA Czech Republic </w:t>
            </w:r>
            <w:proofErr w:type="spellStart"/>
            <w:r w:rsidRPr="004249BA">
              <w:rPr>
                <w:rFonts w:cs="Georgia"/>
                <w:b/>
                <w:bCs/>
                <w:color w:val="000000"/>
              </w:rPr>
              <w:t>s.</w:t>
            </w:r>
            <w:proofErr w:type="gramStart"/>
            <w:r w:rsidRPr="004249BA">
              <w:rPr>
                <w:rFonts w:cs="Georgia"/>
                <w:b/>
                <w:bCs/>
                <w:color w:val="000000"/>
              </w:rPr>
              <w:t>r.o</w:t>
            </w:r>
            <w:proofErr w:type="spellEnd"/>
            <w:proofErr w:type="gramEnd"/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731690F5" w:rsidR="00EF5B87" w:rsidRPr="00AF7E54" w:rsidRDefault="00B80703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Na Křečku 365/5</w:t>
            </w:r>
          </w:p>
        </w:tc>
      </w:tr>
      <w:tr w:rsidR="00EF5B87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50C89FD9" w:rsidR="00EF5B87" w:rsidRPr="00AF7E54" w:rsidRDefault="00B80703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Praha Dolní Měcholupy</w:t>
            </w:r>
          </w:p>
        </w:tc>
      </w:tr>
      <w:tr w:rsidR="00EF5B87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6274F58B" w:rsidR="00EF5B87" w:rsidRPr="00FF1EAA" w:rsidRDefault="00B80703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44796315</w:t>
            </w:r>
          </w:p>
        </w:tc>
      </w:tr>
      <w:tr w:rsidR="00566F6C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3BFCBB40" w:rsidR="00566F6C" w:rsidRPr="00D67FF4" w:rsidRDefault="00B80703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color w:val="000000"/>
              </w:rPr>
              <w:t>CZ 44796315</w:t>
            </w:r>
          </w:p>
        </w:tc>
      </w:tr>
      <w:tr w:rsidR="00EF5B87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EF5B87" w:rsidRPr="00AF7E54" w:rsidRDefault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2FED3211" w:rsidR="00EF5B87" w:rsidRPr="004249BA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4249BA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4249BA">
              <w:rPr>
                <w:rFonts w:cs="Arial"/>
                <w:b/>
                <w:color w:val="000000"/>
              </w:rPr>
              <w:instrText xml:space="preserve"> FORMDROPDOWN </w:instrText>
            </w:r>
            <w:r w:rsidRPr="004249BA">
              <w:rPr>
                <w:rFonts w:cs="Arial"/>
                <w:b/>
                <w:color w:val="000000"/>
              </w:rPr>
            </w:r>
            <w:r w:rsidRPr="004249BA">
              <w:rPr>
                <w:rFonts w:cs="Arial"/>
                <w:b/>
                <w:color w:val="000000"/>
              </w:rPr>
              <w:fldChar w:fldCharType="separate"/>
            </w:r>
            <w:r w:rsidRPr="004249BA">
              <w:rPr>
                <w:rFonts w:cs="Arial"/>
                <w:b/>
                <w:color w:val="000000"/>
              </w:rPr>
              <w:fldChar w:fldCharType="end"/>
            </w:r>
            <w:r w:rsidR="009E539B" w:rsidRPr="004249BA">
              <w:rPr>
                <w:rFonts w:cs="Arial"/>
                <w:b/>
                <w:color w:val="000000"/>
              </w:rPr>
              <w:t xml:space="preserve">      </w:t>
            </w:r>
          </w:p>
        </w:tc>
      </w:tr>
      <w:tr w:rsidR="00EF5B87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42F6A97B" w:rsidR="00EF5B87" w:rsidRPr="00AF7E54" w:rsidRDefault="005F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79927A02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EF5B87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EF5B87" w:rsidRPr="00192CBB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192CBB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7496746D" w:rsidR="00EF5B87" w:rsidRPr="00192CBB" w:rsidRDefault="005F2DA7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78DCB2A8" w:rsidR="00EF5B87" w:rsidRPr="00AF7E54" w:rsidRDefault="005F2DA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F5B87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42FB9786" w:rsidR="00EF5B87" w:rsidRPr="00B91AB9" w:rsidRDefault="005F2DA7" w:rsidP="00EC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EF5B87" w:rsidRPr="00AF7E54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="00EF5B87"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6291B34C" w:rsidR="00EF5B87" w:rsidRPr="00AF7E54" w:rsidRDefault="005F2DA7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F5B87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EF5B87" w:rsidRPr="00D67FF4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49F9D210" w:rsidR="00EF5B87" w:rsidRPr="00B91AB9" w:rsidRDefault="005F2DA7" w:rsidP="008B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593C631E" w:rsidR="00EF5B87" w:rsidRPr="00AF7E54" w:rsidRDefault="005F2DA7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670F35" w:rsidRPr="004249BA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4D09E022" w14:textId="77777777" w:rsidR="004249BA" w:rsidRPr="004249BA" w:rsidRDefault="00670F35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4249BA">
              <w:rPr>
                <w:rFonts w:cs="Georgia"/>
                <w:color w:val="000000"/>
              </w:rPr>
              <w:t xml:space="preserve">Zapsána v obchodním rejstříku vedeném u Krajského </w:t>
            </w:r>
            <w:r w:rsidR="00B80703" w:rsidRPr="004249BA">
              <w:rPr>
                <w:rFonts w:cs="Georgia"/>
                <w:color w:val="000000"/>
              </w:rPr>
              <w:br/>
              <w:t xml:space="preserve">C 6098/MSPH Městský soud v Praze </w:t>
            </w:r>
          </w:p>
          <w:p w14:paraId="19BC8397" w14:textId="77777777" w:rsidR="004249BA" w:rsidRPr="004249BA" w:rsidRDefault="004249BA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4249BA">
              <w:rPr>
                <w:rFonts w:cs="Georgia"/>
                <w:color w:val="000000"/>
              </w:rPr>
              <w:t>Nebo</w:t>
            </w:r>
          </w:p>
          <w:p w14:paraId="0CBB5C8E" w14:textId="54249031" w:rsidR="00DA0419" w:rsidRPr="004249BA" w:rsidRDefault="00DA0419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4249BA">
              <w:rPr>
                <w:rFonts w:cs="Georgia"/>
                <w:color w:val="000000"/>
              </w:rPr>
              <w:t>Úřad příslušný podle §71 odst.2 živnostenského zákona:</w:t>
            </w: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76D446D7" w14:textId="4CD37E32" w:rsidR="003B76B3" w:rsidRDefault="003B76B3" w:rsidP="003B76B3">
            <w:pPr>
              <w:spacing w:after="0" w:line="240" w:lineRule="auto"/>
              <w:jc w:val="both"/>
              <w:rPr>
                <w:rFonts w:eastAsiaTheme="minorHAnsi" w:cs="Calibri"/>
                <w:lang w:eastAsia="en-US"/>
                <w14:ligatures w14:val="standardContextual"/>
              </w:rPr>
            </w:pPr>
            <w:r w:rsidRPr="003B76B3">
              <w:rPr>
                <w:rFonts w:eastAsiaTheme="minorHAnsi" w:cs="Calibri"/>
                <w:lang w:eastAsia="en-US"/>
                <w14:ligatures w14:val="standardContextual"/>
              </w:rPr>
              <w:t xml:space="preserve">Zpravování </w:t>
            </w:r>
            <w:r w:rsidR="00AF75B2" w:rsidRPr="00AF75B2">
              <w:rPr>
                <w:rFonts w:eastAsiaTheme="minorHAnsi" w:cs="Calibri"/>
                <w:b/>
                <w:bCs/>
                <w:lang w:eastAsia="en-US"/>
                <w14:ligatures w14:val="standardContextual"/>
              </w:rPr>
              <w:t>„</w:t>
            </w:r>
            <w:r>
              <w:rPr>
                <w:rFonts w:eastAsiaTheme="minorHAnsi" w:cs="Calibri"/>
                <w:b/>
                <w:bCs/>
                <w:lang w:eastAsia="en-US"/>
                <w14:ligatures w14:val="standardContextual"/>
              </w:rPr>
              <w:t>analýzy</w:t>
            </w:r>
            <w:r w:rsidR="00AF75B2" w:rsidRPr="00AF75B2">
              <w:rPr>
                <w:rFonts w:eastAsiaTheme="minorHAnsi" w:cs="Calibri"/>
                <w:b/>
                <w:bCs/>
                <w:lang w:eastAsia="en-US"/>
                <w14:ligatures w14:val="standardContextual"/>
              </w:rPr>
              <w:t xml:space="preserve"> </w:t>
            </w:r>
            <w:r>
              <w:rPr>
                <w:rFonts w:eastAsiaTheme="minorHAnsi" w:cs="Calibri"/>
                <w:b/>
                <w:bCs/>
                <w:lang w:eastAsia="en-US"/>
                <w14:ligatures w14:val="standardContextual"/>
              </w:rPr>
              <w:t>č</w:t>
            </w:r>
            <w:r w:rsidR="00AF75B2" w:rsidRPr="00AF75B2">
              <w:rPr>
                <w:rFonts w:eastAsiaTheme="minorHAnsi" w:cs="Calibri"/>
                <w:b/>
                <w:bCs/>
                <w:lang w:eastAsia="en-US"/>
                <w14:ligatures w14:val="standardContextual"/>
              </w:rPr>
              <w:t>erpací stanice PHM Marina Labe</w:t>
            </w:r>
            <w:r w:rsidR="00A36C9D">
              <w:t xml:space="preserve"> </w:t>
            </w:r>
            <w:r w:rsidR="00A36C9D" w:rsidRPr="00A36C9D">
              <w:rPr>
                <w:rFonts w:eastAsiaTheme="minorHAnsi" w:cs="Calibri"/>
                <w:b/>
                <w:bCs/>
                <w:lang w:eastAsia="en-US"/>
                <w14:ligatures w14:val="standardContextual"/>
              </w:rPr>
              <w:t>Píšťany</w:t>
            </w:r>
            <w:r w:rsidR="00AF75B2" w:rsidRPr="00AF75B2">
              <w:rPr>
                <w:rFonts w:eastAsiaTheme="minorHAnsi" w:cs="Calibri"/>
                <w:b/>
                <w:bCs/>
                <w:lang w:eastAsia="en-US"/>
                <w14:ligatures w14:val="standardContextual"/>
              </w:rPr>
              <w:t>“</w:t>
            </w:r>
            <w:r w:rsidRPr="008D0040">
              <w:rPr>
                <w:rFonts w:eastAsiaTheme="minorHAnsi" w:cs="Calibri"/>
                <w:lang w:eastAsia="en-US"/>
                <w14:ligatures w14:val="standardContextual"/>
              </w:rPr>
              <w:t xml:space="preserve">, jejímž </w:t>
            </w:r>
            <w:r>
              <w:rPr>
                <w:rFonts w:eastAsiaTheme="minorHAnsi" w:cs="Calibri"/>
                <w:lang w:eastAsia="en-US"/>
                <w14:ligatures w14:val="standardContextual"/>
              </w:rPr>
              <w:t>předmětem bude:</w:t>
            </w:r>
          </w:p>
          <w:p w14:paraId="48AE94D9" w14:textId="4173EB95" w:rsidR="003B76B3" w:rsidRPr="008D0040" w:rsidRDefault="003B76B3" w:rsidP="003B76B3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right="152"/>
              <w:jc w:val="both"/>
              <w:rPr>
                <w:rFonts w:eastAsiaTheme="minorHAnsi" w:cs="Calibri"/>
                <w:b/>
                <w:bCs/>
                <w:lang w:eastAsia="en-US"/>
                <w14:ligatures w14:val="standardContextual"/>
              </w:rPr>
            </w:pPr>
            <w:r w:rsidRPr="008D0040">
              <w:rPr>
                <w:rFonts w:eastAsiaTheme="minorHAnsi" w:cs="Calibri"/>
                <w:lang w:eastAsia="en-US"/>
                <w14:ligatures w14:val="standardContextual"/>
              </w:rPr>
              <w:t xml:space="preserve">posouzení současného stavu čerpací stanice PHM z hlediska technické provozuschopnosti a souladu s platnými předpisy a normami a povoleními, specifikace nutných oprav a úprav pro zajištění provozuschopnosti, včetně odhadu </w:t>
            </w:r>
            <w:r w:rsidR="00A36C9D" w:rsidRPr="00A36C9D">
              <w:rPr>
                <w:rFonts w:eastAsiaTheme="minorHAnsi" w:cs="Calibri"/>
                <w:lang w:eastAsia="en-US"/>
                <w14:ligatures w14:val="standardContextual"/>
              </w:rPr>
              <w:t xml:space="preserve">jejich </w:t>
            </w:r>
            <w:r w:rsidRPr="008D0040">
              <w:rPr>
                <w:rFonts w:eastAsiaTheme="minorHAnsi" w:cs="Calibri"/>
                <w:lang w:eastAsia="en-US"/>
                <w14:ligatures w14:val="standardContextual"/>
              </w:rPr>
              <w:t>nákladů</w:t>
            </w:r>
            <w:r w:rsidR="00A36C9D">
              <w:rPr>
                <w:rFonts w:eastAsiaTheme="minorHAnsi" w:cs="Calibri"/>
                <w:lang w:eastAsia="en-US"/>
                <w14:ligatures w14:val="standardContextual"/>
              </w:rPr>
              <w:t>,</w:t>
            </w:r>
            <w:r w:rsidR="00C17C31">
              <w:rPr>
                <w:rFonts w:eastAsiaTheme="minorHAnsi" w:cs="Calibri"/>
                <w:lang w:eastAsia="en-US"/>
                <w14:ligatures w14:val="standardContextual"/>
              </w:rPr>
              <w:t xml:space="preserve"> zpracování znaleckého posudku hodnoty stávající čerpací stanice PHM</w:t>
            </w:r>
            <w:r w:rsidR="00C17C31">
              <w:t xml:space="preserve"> dle </w:t>
            </w:r>
            <w:r w:rsidR="00C17C31" w:rsidRPr="00C17C31">
              <w:rPr>
                <w:rFonts w:eastAsiaTheme="minorHAnsi" w:cs="Calibri"/>
                <w:lang w:eastAsia="en-US"/>
                <w14:ligatures w14:val="standardContextual"/>
              </w:rPr>
              <w:t>zákona č. 151/1997 Sb., o oceňování majetku a o změně některých zákonů (zákon o oceňování majetku), v platném znění (cena zjištěná a cena obvyklá)</w:t>
            </w:r>
            <w:r w:rsidR="00C17C31">
              <w:rPr>
                <w:rFonts w:eastAsiaTheme="minorHAnsi" w:cs="Calibri"/>
                <w:lang w:eastAsia="en-US"/>
                <w14:ligatures w14:val="standardContextual"/>
              </w:rPr>
              <w:t>,</w:t>
            </w:r>
          </w:p>
          <w:p w14:paraId="6C9134A7" w14:textId="77777777" w:rsidR="003B76B3" w:rsidRPr="008D0040" w:rsidRDefault="003B76B3" w:rsidP="003B76B3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right="152"/>
              <w:jc w:val="both"/>
              <w:rPr>
                <w:rFonts w:eastAsiaTheme="minorHAnsi" w:cs="Calibri"/>
                <w:lang w:eastAsia="en-US"/>
                <w14:ligatures w14:val="standardContextual"/>
              </w:rPr>
            </w:pPr>
            <w:r w:rsidRPr="008D0040">
              <w:rPr>
                <w:rFonts w:eastAsiaTheme="minorHAnsi" w:cs="Calibri"/>
                <w:lang w:eastAsia="en-US"/>
                <w14:ligatures w14:val="standardContextual"/>
              </w:rPr>
              <w:t>specifikace opatření a nákladů pro odpojení a zakonzervování výdeje pro automobily,</w:t>
            </w:r>
          </w:p>
          <w:p w14:paraId="199DD31F" w14:textId="61172B1D" w:rsidR="003B76B3" w:rsidRPr="008D1A91" w:rsidRDefault="003B76B3" w:rsidP="008D1A91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right="152"/>
              <w:jc w:val="both"/>
              <w:rPr>
                <w:rFonts w:eastAsiaTheme="minorHAnsi" w:cs="Calibri"/>
                <w:lang w:eastAsia="en-US"/>
                <w14:ligatures w14:val="standardContextual"/>
              </w:rPr>
            </w:pPr>
            <w:r w:rsidRPr="008D1A91">
              <w:rPr>
                <w:rFonts w:eastAsiaTheme="minorHAnsi" w:cs="Calibri"/>
                <w:lang w:eastAsia="en-US"/>
                <w14:ligatures w14:val="standardContextual"/>
              </w:rPr>
              <w:t>specifikace opatření a nákladů pro zavedení samoobslužného tankování pro lodě (</w:t>
            </w:r>
            <w:proofErr w:type="spellStart"/>
            <w:r w:rsidRPr="008D1A91">
              <w:rPr>
                <w:rFonts w:eastAsiaTheme="minorHAnsi" w:cs="Calibri"/>
                <w:lang w:eastAsia="en-US"/>
                <w14:ligatures w14:val="standardContextual"/>
              </w:rPr>
              <w:t>tankomat</w:t>
            </w:r>
            <w:proofErr w:type="spellEnd"/>
            <w:r w:rsidR="00A36C9D">
              <w:t xml:space="preserve"> </w:t>
            </w:r>
            <w:r w:rsidR="00A36C9D" w:rsidRPr="008D1A91">
              <w:rPr>
                <w:rFonts w:eastAsiaTheme="minorHAnsi" w:cs="Calibri"/>
                <w:lang w:eastAsia="en-US"/>
                <w14:ligatures w14:val="standardContextual"/>
              </w:rPr>
              <w:t xml:space="preserve">na bankovní karty např. </w:t>
            </w:r>
            <w:proofErr w:type="spellStart"/>
            <w:r w:rsidR="00A36C9D" w:rsidRPr="008D1A91">
              <w:rPr>
                <w:rFonts w:eastAsiaTheme="minorHAnsi" w:cs="Calibri"/>
                <w:lang w:eastAsia="en-US"/>
                <w14:ligatures w14:val="standardContextual"/>
              </w:rPr>
              <w:t>CardManager</w:t>
            </w:r>
            <w:proofErr w:type="spellEnd"/>
            <w:r w:rsidRPr="008D1A91">
              <w:rPr>
                <w:rFonts w:eastAsiaTheme="minorHAnsi" w:cs="Calibri"/>
                <w:lang w:eastAsia="en-US"/>
                <w14:ligatures w14:val="standardContextual"/>
              </w:rPr>
              <w:t>, čtečka přístavních karet</w:t>
            </w:r>
            <w:r w:rsidR="00A36C9D">
              <w:t xml:space="preserve"> </w:t>
            </w:r>
            <w:r w:rsidR="00A36C9D" w:rsidRPr="008D1A91">
              <w:rPr>
                <w:rFonts w:eastAsiaTheme="minorHAnsi" w:cs="Calibri"/>
                <w:lang w:eastAsia="en-US"/>
                <w14:ligatures w14:val="standardContextual"/>
              </w:rPr>
              <w:t xml:space="preserve">jako </w:t>
            </w:r>
            <w:proofErr w:type="spellStart"/>
            <w:r w:rsidR="00A36C9D" w:rsidRPr="008D1A91">
              <w:rPr>
                <w:rFonts w:eastAsiaTheme="minorHAnsi" w:cs="Calibri"/>
                <w:lang w:eastAsia="en-US"/>
                <w14:ligatures w14:val="standardContextual"/>
              </w:rPr>
              <w:t>fleetových</w:t>
            </w:r>
            <w:proofErr w:type="spellEnd"/>
            <w:r w:rsidR="00A36C9D" w:rsidRPr="008D1A91">
              <w:rPr>
                <w:rFonts w:eastAsiaTheme="minorHAnsi" w:cs="Calibri"/>
                <w:lang w:eastAsia="en-US"/>
                <w14:ligatures w14:val="standardContextual"/>
              </w:rPr>
              <w:t xml:space="preserve"> karet,</w:t>
            </w:r>
            <w:r w:rsidRPr="008D1A91">
              <w:rPr>
                <w:rFonts w:eastAsiaTheme="minorHAnsi" w:cs="Calibri"/>
                <w:lang w:eastAsia="en-US"/>
                <w14:ligatures w14:val="standardContextual"/>
              </w:rPr>
              <w:t xml:space="preserve"> s propojením na stávající </w:t>
            </w:r>
            <w:r w:rsidR="00461D82">
              <w:rPr>
                <w:rFonts w:eastAsiaTheme="minorHAnsi" w:cs="Calibri"/>
                <w:lang w:eastAsia="en-US"/>
                <w14:ligatures w14:val="standardContextual"/>
              </w:rPr>
              <w:t xml:space="preserve">centrální </w:t>
            </w:r>
            <w:r w:rsidRPr="008D1A91">
              <w:rPr>
                <w:rFonts w:eastAsiaTheme="minorHAnsi" w:cs="Calibri"/>
                <w:lang w:eastAsia="en-US"/>
                <w14:ligatures w14:val="standardContextual"/>
              </w:rPr>
              <w:t xml:space="preserve">pokladní a dozorový systémem ŘVC od </w:t>
            </w:r>
            <w:r w:rsidR="008D1A91" w:rsidRPr="008D1A91">
              <w:rPr>
                <w:rFonts w:eastAsiaTheme="minorHAnsi" w:cs="Calibri"/>
                <w:lang w:eastAsia="en-US"/>
                <w14:ligatures w14:val="standardContextual"/>
              </w:rPr>
              <w:t>UNICODE SYSTEM</w:t>
            </w:r>
            <w:r w:rsidRPr="008D1A91">
              <w:rPr>
                <w:rFonts w:eastAsiaTheme="minorHAnsi" w:cs="Calibri"/>
                <w:lang w:eastAsia="en-US"/>
                <w14:ligatures w14:val="standardContextual"/>
              </w:rPr>
              <w:t xml:space="preserve">) včetně nezbytné výměny </w:t>
            </w:r>
            <w:r w:rsidR="005F4659" w:rsidRPr="005F4659">
              <w:rPr>
                <w:rFonts w:eastAsiaTheme="minorHAnsi" w:cs="Calibri"/>
                <w:lang w:eastAsia="en-US"/>
                <w14:ligatures w14:val="standardContextual"/>
              </w:rPr>
              <w:t xml:space="preserve">komponent </w:t>
            </w:r>
            <w:r w:rsidRPr="008D1A91">
              <w:rPr>
                <w:rFonts w:eastAsiaTheme="minorHAnsi" w:cs="Calibri"/>
                <w:lang w:eastAsia="en-US"/>
                <w14:ligatures w14:val="standardContextual"/>
              </w:rPr>
              <w:t xml:space="preserve">technologie a doplnění kamerového systému se zabezpečením a informačním systémem užívaným na veřejných servisních centrech provozovaných ŘVC ČR, </w:t>
            </w:r>
          </w:p>
          <w:p w14:paraId="56B907D4" w14:textId="44BEAEC0" w:rsidR="003B76B3" w:rsidRDefault="003B76B3" w:rsidP="003B76B3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right="152"/>
              <w:jc w:val="both"/>
              <w:rPr>
                <w:rFonts w:eastAsiaTheme="minorHAnsi" w:cs="Calibri"/>
                <w:lang w:eastAsia="en-US"/>
                <w14:ligatures w14:val="standardContextual"/>
              </w:rPr>
            </w:pPr>
            <w:r>
              <w:rPr>
                <w:rFonts w:eastAsiaTheme="minorHAnsi" w:cs="Calibri"/>
                <w:lang w:eastAsia="en-US"/>
                <w14:ligatures w14:val="standardContextual"/>
              </w:rPr>
              <w:t xml:space="preserve">specifikace omezení </w:t>
            </w:r>
            <w:r w:rsidR="008D1A91" w:rsidRPr="008D1A91">
              <w:rPr>
                <w:rFonts w:eastAsiaTheme="minorHAnsi" w:cs="Calibri"/>
                <w:lang w:eastAsia="en-US"/>
                <w14:ligatures w14:val="standardContextual"/>
              </w:rPr>
              <w:t xml:space="preserve">nebo podmínek </w:t>
            </w:r>
            <w:r>
              <w:rPr>
                <w:rFonts w:eastAsiaTheme="minorHAnsi" w:cs="Calibri"/>
                <w:lang w:eastAsia="en-US"/>
                <w14:ligatures w14:val="standardContextual"/>
              </w:rPr>
              <w:t>pro osazení další technologie pro bezobslužné zásobování plavidel (dodávka vody, elektřiny, odčerpávání fekálních vod apod.) vlivem provozu čerpací stanice PHM,</w:t>
            </w:r>
          </w:p>
          <w:p w14:paraId="136E395E" w14:textId="77777777" w:rsidR="003B76B3" w:rsidRPr="008D0040" w:rsidRDefault="003B76B3" w:rsidP="003B76B3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right="152"/>
              <w:jc w:val="both"/>
              <w:rPr>
                <w:rFonts w:eastAsiaTheme="minorHAnsi" w:cs="Calibri"/>
                <w:lang w:eastAsia="en-US"/>
                <w14:ligatures w14:val="standardContextual"/>
              </w:rPr>
            </w:pPr>
            <w:r w:rsidRPr="008D0040">
              <w:rPr>
                <w:rFonts w:eastAsiaTheme="minorHAnsi" w:cs="Calibri"/>
                <w:lang w:eastAsia="en-US"/>
                <w14:ligatures w14:val="standardContextual"/>
              </w:rPr>
              <w:t>specifikace nutných formálních kroků pro obnovení povolení provozu</w:t>
            </w:r>
            <w:r>
              <w:rPr>
                <w:rFonts w:eastAsiaTheme="minorHAnsi" w:cs="Calibri"/>
                <w:lang w:eastAsia="en-US"/>
                <w14:ligatures w14:val="standardContextual"/>
              </w:rPr>
              <w:t>.</w:t>
            </w:r>
          </w:p>
          <w:p w14:paraId="069B8D77" w14:textId="77777777" w:rsidR="003B76B3" w:rsidRPr="00C129B2" w:rsidRDefault="003B76B3" w:rsidP="003B76B3">
            <w:pPr>
              <w:spacing w:after="0" w:line="240" w:lineRule="auto"/>
              <w:jc w:val="both"/>
              <w:rPr>
                <w:rFonts w:eastAsiaTheme="minorHAnsi" w:cs="Calibri"/>
                <w:sz w:val="16"/>
                <w:szCs w:val="16"/>
                <w:lang w:eastAsia="en-US"/>
                <w14:ligatures w14:val="standardContextual"/>
              </w:rPr>
            </w:pPr>
          </w:p>
          <w:p w14:paraId="600DFA10" w14:textId="777DD54F" w:rsidR="00AF75B2" w:rsidRDefault="003B76B3" w:rsidP="003B76B3">
            <w:pPr>
              <w:spacing w:after="0" w:line="240" w:lineRule="auto"/>
              <w:jc w:val="both"/>
              <w:rPr>
                <w:rFonts w:eastAsiaTheme="minorHAnsi" w:cs="Calibri"/>
                <w:b/>
                <w:bCs/>
                <w:lang w:eastAsia="en-US"/>
                <w14:ligatures w14:val="standardContextual"/>
              </w:rPr>
            </w:pPr>
            <w:r w:rsidRPr="008D0040">
              <w:rPr>
                <w:rFonts w:eastAsiaTheme="minorHAnsi" w:cs="Calibri"/>
                <w:lang w:eastAsia="en-US"/>
                <w14:ligatures w14:val="standardContextual"/>
              </w:rPr>
              <w:t>Analýza bude odevzdána v počtu 2 pare tištěné + 2 pare digitálně na CD a bude uloženo ve formátech *.</w:t>
            </w:r>
            <w:proofErr w:type="spellStart"/>
            <w:r w:rsidRPr="008D0040">
              <w:rPr>
                <w:rFonts w:eastAsiaTheme="minorHAnsi" w:cs="Calibri"/>
                <w:lang w:eastAsia="en-US"/>
                <w14:ligatures w14:val="standardContextual"/>
              </w:rPr>
              <w:t>docx</w:t>
            </w:r>
            <w:proofErr w:type="spellEnd"/>
            <w:r w:rsidRPr="008D0040">
              <w:rPr>
                <w:rFonts w:eastAsiaTheme="minorHAnsi" w:cs="Calibri"/>
                <w:lang w:eastAsia="en-US"/>
                <w14:ligatures w14:val="standardContextual"/>
              </w:rPr>
              <w:t xml:space="preserve"> a *.</w:t>
            </w:r>
            <w:proofErr w:type="spellStart"/>
            <w:r w:rsidRPr="008D0040">
              <w:rPr>
                <w:rFonts w:eastAsiaTheme="minorHAnsi" w:cs="Calibri"/>
                <w:lang w:eastAsia="en-US"/>
                <w14:ligatures w14:val="standardContextual"/>
              </w:rPr>
              <w:t>xlsx</w:t>
            </w:r>
            <w:proofErr w:type="spellEnd"/>
            <w:r w:rsidRPr="008D0040">
              <w:rPr>
                <w:rFonts w:eastAsiaTheme="minorHAnsi" w:cs="Calibri"/>
                <w:lang w:eastAsia="en-US"/>
                <w14:ligatures w14:val="standardContextual"/>
              </w:rPr>
              <w:t xml:space="preserve"> - Microso</w:t>
            </w:r>
            <w:r w:rsidR="005F4659">
              <w:rPr>
                <w:rFonts w:eastAsiaTheme="minorHAnsi" w:cs="Calibri"/>
                <w:lang w:eastAsia="en-US"/>
                <w14:ligatures w14:val="standardContextual"/>
              </w:rPr>
              <w:t>ft</w:t>
            </w:r>
            <w:r w:rsidRPr="008D0040">
              <w:rPr>
                <w:rFonts w:eastAsiaTheme="minorHAnsi" w:cs="Calibri"/>
                <w:lang w:eastAsia="en-US"/>
                <w14:ligatures w14:val="standardContextual"/>
              </w:rPr>
              <w:t xml:space="preserve"> Oﬃce</w:t>
            </w:r>
            <w:r w:rsidR="005F4659">
              <w:rPr>
                <w:rFonts w:eastAsiaTheme="minorHAnsi" w:cs="Calibri"/>
                <w:lang w:eastAsia="en-US"/>
                <w14:ligatures w14:val="standardContextual"/>
              </w:rPr>
              <w:t xml:space="preserve">, </w:t>
            </w:r>
            <w:r w:rsidRPr="008D0040">
              <w:rPr>
                <w:rFonts w:eastAsiaTheme="minorHAnsi" w:cs="Calibri"/>
                <w:lang w:eastAsia="en-US"/>
                <w14:ligatures w14:val="standardContextual"/>
              </w:rPr>
              <w:t>*.</w:t>
            </w:r>
            <w:proofErr w:type="spellStart"/>
            <w:r w:rsidRPr="008D0040">
              <w:rPr>
                <w:rFonts w:eastAsiaTheme="minorHAnsi" w:cs="Calibri"/>
                <w:lang w:eastAsia="en-US"/>
                <w14:ligatures w14:val="standardContextual"/>
              </w:rPr>
              <w:t>dwg</w:t>
            </w:r>
            <w:proofErr w:type="spellEnd"/>
            <w:r w:rsidRPr="008D0040">
              <w:rPr>
                <w:rFonts w:eastAsiaTheme="minorHAnsi" w:cs="Calibri"/>
                <w:lang w:eastAsia="en-US"/>
                <w14:ligatures w14:val="standardContextual"/>
              </w:rPr>
              <w:t xml:space="preserve"> - </w:t>
            </w:r>
            <w:proofErr w:type="spellStart"/>
            <w:r w:rsidRPr="008D0040">
              <w:rPr>
                <w:rFonts w:eastAsiaTheme="minorHAnsi" w:cs="Calibri"/>
                <w:lang w:eastAsia="en-US"/>
                <w14:ligatures w14:val="standardContextual"/>
              </w:rPr>
              <w:t>AutoCAD</w:t>
            </w:r>
            <w:proofErr w:type="spellEnd"/>
            <w:r w:rsidRPr="008D0040">
              <w:rPr>
                <w:rFonts w:eastAsiaTheme="minorHAnsi" w:cs="Calibri"/>
                <w:lang w:eastAsia="en-US"/>
                <w14:ligatures w14:val="standardContextual"/>
              </w:rPr>
              <w:t>, kompletní dokument také ve formátu *.</w:t>
            </w:r>
            <w:proofErr w:type="spellStart"/>
            <w:r w:rsidRPr="008D0040">
              <w:rPr>
                <w:rFonts w:eastAsiaTheme="minorHAnsi" w:cs="Calibri"/>
                <w:lang w:eastAsia="en-US"/>
                <w14:ligatures w14:val="standardContextual"/>
              </w:rPr>
              <w:t>pdf</w:t>
            </w:r>
            <w:proofErr w:type="spellEnd"/>
            <w:r w:rsidRPr="008D0040">
              <w:rPr>
                <w:rFonts w:eastAsiaTheme="minorHAnsi" w:cs="Calibri"/>
                <w:lang w:eastAsia="en-US"/>
                <w14:ligatures w14:val="standardContextual"/>
              </w:rPr>
              <w:t>.</w:t>
            </w:r>
          </w:p>
          <w:p w14:paraId="19AB0558" w14:textId="77777777" w:rsidR="00AF75B2" w:rsidRPr="00AF75B2" w:rsidRDefault="00AF75B2" w:rsidP="00AF75B2">
            <w:pPr>
              <w:spacing w:after="0" w:line="240" w:lineRule="auto"/>
              <w:jc w:val="both"/>
              <w:rPr>
                <w:rFonts w:eastAsiaTheme="minorHAnsi" w:cs="Calibri"/>
                <w:b/>
                <w:bCs/>
                <w:lang w:eastAsia="en-US"/>
                <w14:ligatures w14:val="standardContextual"/>
              </w:rPr>
            </w:pPr>
          </w:p>
          <w:p w14:paraId="52412D96" w14:textId="77777777" w:rsidR="00566F6C" w:rsidRPr="000F53D1" w:rsidRDefault="00566F6C" w:rsidP="00742A6F">
            <w:pPr>
              <w:spacing w:after="0" w:line="240" w:lineRule="auto"/>
              <w:rPr>
                <w:rFonts w:cs="Georgia"/>
                <w:b/>
                <w:bCs/>
                <w:sz w:val="24"/>
                <w:szCs w:val="24"/>
              </w:rPr>
            </w:pP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2C1CA35F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E47950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E47950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E47950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E47950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E47950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</w:t>
            </w:r>
            <w:r w:rsidRPr="004249BA">
              <w:rPr>
                <w:rFonts w:cs="Arial"/>
                <w:color w:val="000000"/>
                <w:sz w:val="17"/>
                <w:szCs w:val="17"/>
              </w:rPr>
              <w:t xml:space="preserve">podepsaného </w:t>
            </w:r>
            <w:r w:rsidR="00987E92" w:rsidRPr="004249BA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 w:rsidR="00987E92" w:rsidRPr="004249BA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87E92" w:rsidRPr="004249BA">
              <w:rPr>
                <w:rFonts w:cs="Arial"/>
                <w:color w:val="000000"/>
                <w:sz w:val="17"/>
                <w:szCs w:val="17"/>
              </w:rPr>
            </w:r>
            <w:r w:rsidR="00987E92" w:rsidRPr="004249BA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87E92" w:rsidRPr="004249BA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4249BA">
              <w:rPr>
                <w:rFonts w:cs="Arial"/>
                <w:color w:val="000000"/>
                <w:sz w:val="17"/>
                <w:szCs w:val="17"/>
              </w:rPr>
              <w:t>.</w:t>
            </w:r>
            <w:r w:rsidRPr="00E47950">
              <w:rPr>
                <w:rFonts w:cs="Arial"/>
                <w:color w:val="000000"/>
                <w:sz w:val="17"/>
                <w:szCs w:val="17"/>
              </w:rPr>
              <w:t xml:space="preserve"> Oprávněnou osobou odběratele pro převzetí předmětu plnění této objednávky</w:t>
            </w:r>
            <w:r w:rsidR="00816AA2" w:rsidRPr="00E47950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E47950" w:rsidRPr="00E47950">
              <w:rPr>
                <w:rFonts w:cs="Arial"/>
                <w:color w:val="000000"/>
                <w:sz w:val="17"/>
                <w:szCs w:val="17"/>
              </w:rPr>
              <w:t xml:space="preserve">je </w:t>
            </w:r>
            <w:r w:rsidR="005F2DA7">
              <w:rPr>
                <w:rFonts w:cs="Arial"/>
                <w:color w:val="000000"/>
                <w:sz w:val="17"/>
                <w:szCs w:val="17"/>
              </w:rPr>
              <w:t>XXXX</w:t>
            </w:r>
            <w:r w:rsidR="00E47950" w:rsidRPr="00E47950">
              <w:rPr>
                <w:rFonts w:cs="Arial"/>
                <w:color w:val="000000"/>
                <w:sz w:val="17"/>
                <w:szCs w:val="17"/>
              </w:rPr>
              <w:t>, investiční referent, OPR</w:t>
            </w:r>
          </w:p>
          <w:p w14:paraId="22FF4638" w14:textId="2128F6C0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9E539B">
              <w:rPr>
                <w:rFonts w:cs="Georgia"/>
                <w:b/>
                <w:color w:val="000000"/>
                <w:sz w:val="24"/>
                <w:szCs w:val="24"/>
              </w:rPr>
              <w:t xml:space="preserve">  </w:t>
            </w:r>
            <w:r w:rsidR="00B80703">
              <w:rPr>
                <w:rFonts w:cs="Georgia"/>
                <w:b/>
                <w:color w:val="000000"/>
                <w:sz w:val="24"/>
                <w:szCs w:val="24"/>
              </w:rPr>
              <w:t>98850</w:t>
            </w:r>
            <w:r w:rsidR="009E539B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3635A298" w14:textId="51B1445D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       </w:t>
            </w:r>
            <w:r w:rsidR="007015F3">
              <w:rPr>
                <w:rFonts w:cs="Georgia"/>
                <w:b/>
                <w:color w:val="000000"/>
                <w:sz w:val="24"/>
                <w:szCs w:val="24"/>
              </w:rPr>
              <w:t>119608</w:t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2C34D0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34D0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2C34D0">
              <w:rPr>
                <w:rFonts w:cs="Arial"/>
                <w:color w:val="000000"/>
              </w:rPr>
              <w:instrText xml:space="preserve"> FORMDROPDOWN </w:instrText>
            </w:r>
            <w:r w:rsidRPr="002C34D0">
              <w:rPr>
                <w:rFonts w:cs="Arial"/>
                <w:color w:val="000000"/>
              </w:rPr>
            </w:r>
            <w:r w:rsidRPr="002C34D0">
              <w:rPr>
                <w:rFonts w:cs="Arial"/>
                <w:color w:val="000000"/>
              </w:rPr>
              <w:fldChar w:fldCharType="separate"/>
            </w:r>
            <w:r w:rsidRPr="002C34D0">
              <w:rPr>
                <w:rFonts w:cs="Arial"/>
                <w:color w:val="000000"/>
              </w:rPr>
              <w:fldChar w:fldCharType="end"/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2EEA3FAB" w:rsidR="0098229D" w:rsidRPr="002C34D0" w:rsidRDefault="008A2190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30</w:t>
            </w:r>
            <w:r w:rsidR="00535C2D" w:rsidRPr="002C34D0">
              <w:rPr>
                <w:rFonts w:cs="Georgia"/>
                <w:color w:val="000000"/>
              </w:rPr>
              <w:t>.</w:t>
            </w:r>
            <w:r w:rsidR="00AF75B2">
              <w:rPr>
                <w:rFonts w:cs="Georgia"/>
                <w:color w:val="000000"/>
              </w:rPr>
              <w:t>0</w:t>
            </w:r>
            <w:r w:rsidR="003B76B3">
              <w:rPr>
                <w:rFonts w:cs="Georgia"/>
                <w:color w:val="000000"/>
              </w:rPr>
              <w:t>5</w:t>
            </w:r>
            <w:r w:rsidR="00535C2D" w:rsidRPr="002C34D0">
              <w:rPr>
                <w:rFonts w:cs="Georgia"/>
                <w:color w:val="000000"/>
              </w:rPr>
              <w:t>.</w:t>
            </w:r>
            <w:r w:rsidR="00AF75B2">
              <w:rPr>
                <w:rFonts w:cs="Georgia"/>
                <w:color w:val="000000"/>
              </w:rPr>
              <w:t>2025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6B995F48" w:rsidR="0098229D" w:rsidRPr="002C34D0" w:rsidRDefault="008A2190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19</w:t>
            </w:r>
            <w:r w:rsidR="00AF75B2">
              <w:rPr>
                <w:rFonts w:cs="Georgia"/>
                <w:color w:val="000000"/>
              </w:rPr>
              <w:t>.0</w:t>
            </w:r>
            <w:r w:rsidR="003B76B3">
              <w:rPr>
                <w:rFonts w:cs="Georgia"/>
                <w:color w:val="000000"/>
              </w:rPr>
              <w:t>3</w:t>
            </w:r>
            <w:r w:rsidR="00AF75B2">
              <w:rPr>
                <w:rFonts w:cs="Georgia"/>
                <w:color w:val="000000"/>
              </w:rPr>
              <w:t>.2025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2C34D0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2C34D0" w:rsidRPr="000F53D1" w14:paraId="622C3F38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2FBD0F7D" w14:textId="195FB481" w:rsidR="002C34D0" w:rsidRPr="002C34D0" w:rsidRDefault="002C3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lastRenderedPageBreak/>
              <w:t>Fakturace</w:t>
            </w:r>
          </w:p>
        </w:tc>
        <w:tc>
          <w:tcPr>
            <w:tcW w:w="8082" w:type="dxa"/>
            <w:vAlign w:val="bottom"/>
          </w:tcPr>
          <w:p w14:paraId="0307ED6E" w14:textId="5E017649" w:rsidR="002C34D0" w:rsidRPr="002C34D0" w:rsidRDefault="002C34D0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34D0">
              <w:rPr>
                <w:rFonts w:cs="Georgia"/>
                <w:color w:val="000000"/>
              </w:rPr>
              <w:t xml:space="preserve">Faktury zasílejte do </w:t>
            </w:r>
            <w:r w:rsidRPr="002C34D0">
              <w:rPr>
                <w:rFonts w:cs="Georgia"/>
                <w:b/>
                <w:bCs/>
                <w:color w:val="000000"/>
              </w:rPr>
              <w:t>datové schránky ŘVC ČR</w:t>
            </w:r>
            <w:r>
              <w:rPr>
                <w:rFonts w:cs="Georgia"/>
                <w:b/>
                <w:bCs/>
                <w:color w:val="000000"/>
              </w:rPr>
              <w:t>, IDDS</w:t>
            </w:r>
            <w:r w:rsidRPr="002C34D0">
              <w:rPr>
                <w:rFonts w:cs="Georgia"/>
                <w:color w:val="000000"/>
              </w:rPr>
              <w:t xml:space="preserve">: 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ndn5skh, </w:t>
            </w:r>
            <w:r w:rsidRPr="002C34D0">
              <w:rPr>
                <w:rFonts w:cs="Georgia"/>
                <w:color w:val="000000"/>
              </w:rPr>
              <w:t>případně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 e-mailem </w:t>
            </w:r>
            <w:r w:rsidRPr="002C34D0">
              <w:rPr>
                <w:rFonts w:cs="Georgia"/>
                <w:color w:val="000000"/>
              </w:rPr>
              <w:t xml:space="preserve">na </w:t>
            </w:r>
            <w:hyperlink r:id="rId8" w:history="1">
              <w:r w:rsidR="005F2DA7">
                <w:rPr>
                  <w:rStyle w:val="Hypertextovodkaz"/>
                  <w:rFonts w:cs="Georgia"/>
                  <w:b/>
                  <w:bCs/>
                </w:rPr>
                <w:t>XXXX</w:t>
              </w:r>
            </w:hyperlink>
            <w:r w:rsidRPr="002C34D0">
              <w:rPr>
                <w:rFonts w:cs="Georgia"/>
                <w:b/>
                <w:bCs/>
                <w:color w:val="000000"/>
              </w:rPr>
              <w:t>.</w:t>
            </w:r>
            <w:r w:rsidRPr="002C34D0">
              <w:rPr>
                <w:rFonts w:cs="Georgia"/>
                <w:color w:val="000000"/>
              </w:rPr>
              <w:t xml:space="preserve"> Ve faktuře prosím uveďte číslo objednávky ŘVC ČR.</w:t>
            </w:r>
          </w:p>
        </w:tc>
      </w:tr>
    </w:tbl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73BDB7D4" w14:textId="740C4E75" w:rsidR="00E47950" w:rsidRDefault="00566F6C" w:rsidP="00E47950">
      <w:pPr>
        <w:spacing w:after="0" w:line="240" w:lineRule="auto"/>
        <w:jc w:val="both"/>
        <w:rPr>
          <w:rFonts w:eastAsiaTheme="minorHAnsi" w:cs="Calibri"/>
          <w:b/>
          <w:bCs/>
          <w:lang w:eastAsia="en-US"/>
          <w14:ligatures w14:val="standardContextual"/>
        </w:rPr>
      </w:pPr>
      <w:bookmarkStart w:id="1" w:name="_Hlk187054858"/>
      <w:r w:rsidRPr="00E47950">
        <w:rPr>
          <w:rFonts w:cs="Calibri"/>
          <w:b/>
          <w:bCs/>
        </w:rPr>
        <w:t>Plnění bude financováno z</w:t>
      </w:r>
      <w:r w:rsidR="00E47950" w:rsidRPr="00E47950">
        <w:rPr>
          <w:rFonts w:cs="Calibri"/>
          <w:b/>
          <w:bCs/>
        </w:rPr>
        <w:t> globální</w:t>
      </w:r>
      <w:r w:rsidR="00E47950">
        <w:rPr>
          <w:rFonts w:cs="Calibri"/>
          <w:b/>
          <w:bCs/>
        </w:rPr>
        <w:t xml:space="preserve"> položky „ŘVC – Příprava a </w:t>
      </w:r>
      <w:r w:rsidR="003B76B3" w:rsidRPr="00596385">
        <w:rPr>
          <w:rFonts w:cs="Calibri"/>
          <w:b/>
          <w:bCs/>
        </w:rPr>
        <w:t>zabezpečení staveb (projektová příprava)</w:t>
      </w:r>
      <w:r w:rsidR="00E47950">
        <w:rPr>
          <w:rFonts w:cs="Calibri"/>
          <w:b/>
          <w:bCs/>
        </w:rPr>
        <w:t xml:space="preserve">“, číslo ISPROFOND 500 554 0004, </w:t>
      </w:r>
      <w:r w:rsidR="00E47950" w:rsidRPr="00E47950">
        <w:rPr>
          <w:rFonts w:cs="Calibri"/>
          <w:b/>
          <w:bCs/>
        </w:rPr>
        <w:t xml:space="preserve">položka </w:t>
      </w:r>
      <w:r w:rsidR="00E47950" w:rsidRPr="00E47950">
        <w:rPr>
          <w:rFonts w:eastAsiaTheme="minorHAnsi" w:cs="Calibri"/>
          <w:b/>
          <w:bCs/>
          <w:lang w:eastAsia="en-US"/>
          <w14:ligatures w14:val="standardContextual"/>
        </w:rPr>
        <w:t>„Vyhledávací studie infrastruktury vodních cest“, číslo projektu „5005510006“.</w:t>
      </w:r>
    </w:p>
    <w:p w14:paraId="56C40D0D" w14:textId="5E62149D" w:rsidR="0098229D" w:rsidRDefault="00566F6C" w:rsidP="00E47950">
      <w:pPr>
        <w:jc w:val="both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>Plnění není pro ekonomickou činnost ŘVC ČR</w:t>
      </w:r>
    </w:p>
    <w:bookmarkEnd w:id="1"/>
    <w:p w14:paraId="3A359958" w14:textId="77777777" w:rsidR="0098229D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54894D8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FCD482D" w14:textId="77777777" w:rsidR="00E47950" w:rsidRDefault="00E4795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</w:t>
      </w:r>
      <w:r w:rsidR="00D11E48" w:rsidRPr="00AF75B2">
        <w:rPr>
          <w:b/>
          <w:bCs/>
        </w:rPr>
        <w:t xml:space="preserve">: </w:t>
      </w:r>
      <w:r w:rsidR="00670F35" w:rsidRPr="00AF75B2">
        <w:rPr>
          <w:b/>
          <w:bCs/>
        </w:rPr>
        <w:tab/>
      </w:r>
    </w:p>
    <w:p w14:paraId="7EA162AC" w14:textId="3D248F41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proofErr w:type="spellStart"/>
      <w:r w:rsidR="005F2DA7">
        <w:rPr>
          <w:b/>
          <w:bCs/>
        </w:rPr>
        <w:t>xxx</w:t>
      </w:r>
      <w:proofErr w:type="spellEnd"/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3CA7D9A9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bookmarkStart w:id="2" w:name="_Hlk187054871"/>
      <w:r w:rsidR="00192CBB" w:rsidRPr="00AF75B2">
        <w:rPr>
          <w:b/>
          <w:bCs/>
        </w:rPr>
        <w:t>OPR</w:t>
      </w:r>
      <w:bookmarkEnd w:id="2"/>
      <w:r>
        <w:rPr>
          <w:b/>
          <w:bCs/>
        </w:rPr>
        <w:tab/>
        <w:t>ředitel ŘVC ČR</w:t>
      </w:r>
    </w:p>
    <w:p w14:paraId="76BDE2FA" w14:textId="77777777" w:rsidR="000518AF" w:rsidRDefault="000518AF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024B2CF3" w14:textId="77777777" w:rsidR="000518AF" w:rsidRDefault="000518AF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68C83C3C" w14:textId="6DB98C60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1B626516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proofErr w:type="spellStart"/>
      <w:r w:rsidR="005F2DA7">
        <w:rPr>
          <w:b/>
          <w:bCs/>
        </w:rPr>
        <w:t>xxx</w:t>
      </w:r>
      <w:proofErr w:type="spellEnd"/>
    </w:p>
    <w:p w14:paraId="0DCF1266" w14:textId="074B0331" w:rsidR="00D11E48" w:rsidRPr="00AF75B2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tab/>
      </w:r>
      <w:r w:rsidR="00AF75B2">
        <w:rPr>
          <w:b/>
          <w:bCs/>
        </w:rPr>
        <w:t>s</w:t>
      </w:r>
      <w:r w:rsidR="00D11E48" w:rsidRPr="00AF75B2">
        <w:rPr>
          <w:b/>
          <w:bCs/>
        </w:rPr>
        <w:t>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Default="004C54FB" w:rsidP="004C54FB">
      <w:pPr>
        <w:spacing w:after="0"/>
        <w:rPr>
          <w:sz w:val="16"/>
          <w:szCs w:val="16"/>
        </w:rPr>
      </w:pPr>
    </w:p>
    <w:p w14:paraId="02D67FA3" w14:textId="77777777" w:rsidR="00E47950" w:rsidRPr="004C54FB" w:rsidRDefault="00E47950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bookmarkStart w:id="3" w:name="_Hlk187055358"/>
      <w:r w:rsidRPr="00816AA2">
        <w:t>Za dodavatele převzal a akceptuje:</w:t>
      </w:r>
    </w:p>
    <w:p w14:paraId="29D13562" w14:textId="37174A6B" w:rsidR="00816AA2" w:rsidRPr="00566F6C" w:rsidRDefault="00816AA2" w:rsidP="004C54FB">
      <w:pPr>
        <w:spacing w:after="120"/>
      </w:pPr>
      <w:r w:rsidRPr="00816AA2">
        <w:t>Dne:</w:t>
      </w:r>
      <w:bookmarkEnd w:id="3"/>
      <w:r w:rsidR="00B80703">
        <w:t xml:space="preserve"> </w:t>
      </w:r>
      <w:r w:rsidR="005F2DA7">
        <w:t>25.04.2025</w:t>
      </w:r>
    </w:p>
    <w:sectPr w:rsidR="00816AA2" w:rsidRPr="00566F6C" w:rsidSect="008A2190">
      <w:footerReference w:type="default" r:id="rId9"/>
      <w:pgSz w:w="11903" w:h="16835"/>
      <w:pgMar w:top="851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8E909" w14:textId="77777777" w:rsidR="00EC36C0" w:rsidRDefault="00EC36C0">
      <w:pPr>
        <w:spacing w:after="0" w:line="240" w:lineRule="auto"/>
      </w:pPr>
      <w:r>
        <w:separator/>
      </w:r>
    </w:p>
  </w:endnote>
  <w:endnote w:type="continuationSeparator" w:id="0">
    <w:p w14:paraId="00B5C445" w14:textId="77777777" w:rsidR="00EC36C0" w:rsidRDefault="00EC3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9CF2D" w14:textId="77777777" w:rsidR="00EC36C0" w:rsidRDefault="00EC36C0">
      <w:pPr>
        <w:spacing w:after="0" w:line="240" w:lineRule="auto"/>
      </w:pPr>
      <w:r>
        <w:separator/>
      </w:r>
    </w:p>
  </w:footnote>
  <w:footnote w:type="continuationSeparator" w:id="0">
    <w:p w14:paraId="4FC97466" w14:textId="77777777" w:rsidR="00EC36C0" w:rsidRDefault="00EC3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CE3C7B"/>
    <w:multiLevelType w:val="hybridMultilevel"/>
    <w:tmpl w:val="C114C8B4"/>
    <w:lvl w:ilvl="0" w:tplc="40D48D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2"/>
  </w:num>
  <w:num w:numId="2" w16cid:durableId="552959251">
    <w:abstractNumId w:val="0"/>
  </w:num>
  <w:num w:numId="3" w16cid:durableId="1050105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45E9A"/>
    <w:rsid w:val="000477D3"/>
    <w:rsid w:val="000518AF"/>
    <w:rsid w:val="000563D1"/>
    <w:rsid w:val="00056FCC"/>
    <w:rsid w:val="00067C02"/>
    <w:rsid w:val="00067CF9"/>
    <w:rsid w:val="00074C23"/>
    <w:rsid w:val="00083B76"/>
    <w:rsid w:val="00085BD1"/>
    <w:rsid w:val="00092777"/>
    <w:rsid w:val="00096AFA"/>
    <w:rsid w:val="000A0FEC"/>
    <w:rsid w:val="000B78F4"/>
    <w:rsid w:val="000D052F"/>
    <w:rsid w:val="000D521B"/>
    <w:rsid w:val="000D7170"/>
    <w:rsid w:val="000E1D6A"/>
    <w:rsid w:val="000F432D"/>
    <w:rsid w:val="000F53D1"/>
    <w:rsid w:val="0010131A"/>
    <w:rsid w:val="001159B8"/>
    <w:rsid w:val="001354F5"/>
    <w:rsid w:val="00142CB2"/>
    <w:rsid w:val="00150E23"/>
    <w:rsid w:val="00165917"/>
    <w:rsid w:val="00170DB8"/>
    <w:rsid w:val="00171B65"/>
    <w:rsid w:val="00176811"/>
    <w:rsid w:val="00176EB3"/>
    <w:rsid w:val="00177A02"/>
    <w:rsid w:val="001823D7"/>
    <w:rsid w:val="00190D93"/>
    <w:rsid w:val="00191D77"/>
    <w:rsid w:val="00192CBB"/>
    <w:rsid w:val="00192F28"/>
    <w:rsid w:val="001A29F8"/>
    <w:rsid w:val="001B3F73"/>
    <w:rsid w:val="001D0FE1"/>
    <w:rsid w:val="001E0475"/>
    <w:rsid w:val="001E5ECB"/>
    <w:rsid w:val="001F0568"/>
    <w:rsid w:val="001F3008"/>
    <w:rsid w:val="001F3976"/>
    <w:rsid w:val="00213C03"/>
    <w:rsid w:val="002164FF"/>
    <w:rsid w:val="00217F55"/>
    <w:rsid w:val="00222C17"/>
    <w:rsid w:val="002250B1"/>
    <w:rsid w:val="0023021D"/>
    <w:rsid w:val="0023044E"/>
    <w:rsid w:val="002416C8"/>
    <w:rsid w:val="00246C94"/>
    <w:rsid w:val="00251675"/>
    <w:rsid w:val="0026146B"/>
    <w:rsid w:val="00273403"/>
    <w:rsid w:val="00273631"/>
    <w:rsid w:val="00273FDD"/>
    <w:rsid w:val="0027456E"/>
    <w:rsid w:val="002770F8"/>
    <w:rsid w:val="00295176"/>
    <w:rsid w:val="00297309"/>
    <w:rsid w:val="00297614"/>
    <w:rsid w:val="002A5EF2"/>
    <w:rsid w:val="002A6A77"/>
    <w:rsid w:val="002B5756"/>
    <w:rsid w:val="002B69ED"/>
    <w:rsid w:val="002C34D0"/>
    <w:rsid w:val="002D437A"/>
    <w:rsid w:val="002E1D84"/>
    <w:rsid w:val="00306FDC"/>
    <w:rsid w:val="003347D7"/>
    <w:rsid w:val="00334AE1"/>
    <w:rsid w:val="0034167F"/>
    <w:rsid w:val="00360C8B"/>
    <w:rsid w:val="00374631"/>
    <w:rsid w:val="00374FF2"/>
    <w:rsid w:val="003872C4"/>
    <w:rsid w:val="0039145E"/>
    <w:rsid w:val="003A64DD"/>
    <w:rsid w:val="003B25AA"/>
    <w:rsid w:val="003B6FDC"/>
    <w:rsid w:val="003B76B3"/>
    <w:rsid w:val="003E2C7D"/>
    <w:rsid w:val="003E2D12"/>
    <w:rsid w:val="003E5966"/>
    <w:rsid w:val="003F031D"/>
    <w:rsid w:val="003F2364"/>
    <w:rsid w:val="004120C5"/>
    <w:rsid w:val="004249BA"/>
    <w:rsid w:val="004308AD"/>
    <w:rsid w:val="004336B4"/>
    <w:rsid w:val="00433A2A"/>
    <w:rsid w:val="0044398A"/>
    <w:rsid w:val="00445B8D"/>
    <w:rsid w:val="00455802"/>
    <w:rsid w:val="0046035B"/>
    <w:rsid w:val="00461D82"/>
    <w:rsid w:val="00463B6A"/>
    <w:rsid w:val="00463D83"/>
    <w:rsid w:val="00464018"/>
    <w:rsid w:val="004A292A"/>
    <w:rsid w:val="004A3208"/>
    <w:rsid w:val="004B2FB9"/>
    <w:rsid w:val="004C4BD3"/>
    <w:rsid w:val="004C54FB"/>
    <w:rsid w:val="004F1490"/>
    <w:rsid w:val="00501D17"/>
    <w:rsid w:val="00504226"/>
    <w:rsid w:val="00505A0C"/>
    <w:rsid w:val="0050613C"/>
    <w:rsid w:val="00534A12"/>
    <w:rsid w:val="00535C2D"/>
    <w:rsid w:val="00542083"/>
    <w:rsid w:val="00542F67"/>
    <w:rsid w:val="00566F6C"/>
    <w:rsid w:val="00567701"/>
    <w:rsid w:val="005716E0"/>
    <w:rsid w:val="00582B3C"/>
    <w:rsid w:val="00585546"/>
    <w:rsid w:val="005875DA"/>
    <w:rsid w:val="005928C8"/>
    <w:rsid w:val="005A6748"/>
    <w:rsid w:val="005B3A79"/>
    <w:rsid w:val="005B62EF"/>
    <w:rsid w:val="005E48F6"/>
    <w:rsid w:val="005F1E73"/>
    <w:rsid w:val="005F2DA7"/>
    <w:rsid w:val="005F4659"/>
    <w:rsid w:val="00603131"/>
    <w:rsid w:val="006114E9"/>
    <w:rsid w:val="00616F9D"/>
    <w:rsid w:val="00625F19"/>
    <w:rsid w:val="00631B68"/>
    <w:rsid w:val="006378B9"/>
    <w:rsid w:val="00651FA4"/>
    <w:rsid w:val="00656ED8"/>
    <w:rsid w:val="00667C66"/>
    <w:rsid w:val="00670F35"/>
    <w:rsid w:val="00690093"/>
    <w:rsid w:val="006968A4"/>
    <w:rsid w:val="006B2D53"/>
    <w:rsid w:val="006B37BF"/>
    <w:rsid w:val="006B71F4"/>
    <w:rsid w:val="006C19DA"/>
    <w:rsid w:val="006D47EE"/>
    <w:rsid w:val="006E65AE"/>
    <w:rsid w:val="006E75A3"/>
    <w:rsid w:val="006F59A1"/>
    <w:rsid w:val="006F5D79"/>
    <w:rsid w:val="007013A3"/>
    <w:rsid w:val="0070144E"/>
    <w:rsid w:val="0070146A"/>
    <w:rsid w:val="007015F3"/>
    <w:rsid w:val="00704A47"/>
    <w:rsid w:val="0071229C"/>
    <w:rsid w:val="00717262"/>
    <w:rsid w:val="00720D87"/>
    <w:rsid w:val="0072429E"/>
    <w:rsid w:val="00725DCF"/>
    <w:rsid w:val="00730E1E"/>
    <w:rsid w:val="00742A6F"/>
    <w:rsid w:val="00742CFF"/>
    <w:rsid w:val="007513EE"/>
    <w:rsid w:val="007577EF"/>
    <w:rsid w:val="007749D0"/>
    <w:rsid w:val="00775387"/>
    <w:rsid w:val="00775F44"/>
    <w:rsid w:val="007846C5"/>
    <w:rsid w:val="00785B87"/>
    <w:rsid w:val="00785C31"/>
    <w:rsid w:val="00786073"/>
    <w:rsid w:val="007A4ABD"/>
    <w:rsid w:val="007B4B59"/>
    <w:rsid w:val="007C1A05"/>
    <w:rsid w:val="007F15E6"/>
    <w:rsid w:val="007F333D"/>
    <w:rsid w:val="007F40AB"/>
    <w:rsid w:val="007F5C8C"/>
    <w:rsid w:val="0080434D"/>
    <w:rsid w:val="00805997"/>
    <w:rsid w:val="00816AA2"/>
    <w:rsid w:val="008302CA"/>
    <w:rsid w:val="00836EC4"/>
    <w:rsid w:val="00840826"/>
    <w:rsid w:val="00850A1C"/>
    <w:rsid w:val="00852A6D"/>
    <w:rsid w:val="00854D17"/>
    <w:rsid w:val="00882612"/>
    <w:rsid w:val="008A2190"/>
    <w:rsid w:val="008B1889"/>
    <w:rsid w:val="008C6BAA"/>
    <w:rsid w:val="008D1A91"/>
    <w:rsid w:val="008D58CA"/>
    <w:rsid w:val="008E4C60"/>
    <w:rsid w:val="00907030"/>
    <w:rsid w:val="0092156C"/>
    <w:rsid w:val="00945024"/>
    <w:rsid w:val="009532C2"/>
    <w:rsid w:val="0095598F"/>
    <w:rsid w:val="00957E22"/>
    <w:rsid w:val="0096143E"/>
    <w:rsid w:val="0096739E"/>
    <w:rsid w:val="009748F3"/>
    <w:rsid w:val="00976DF8"/>
    <w:rsid w:val="0098229D"/>
    <w:rsid w:val="0098239C"/>
    <w:rsid w:val="00987E92"/>
    <w:rsid w:val="009936F1"/>
    <w:rsid w:val="00994DDF"/>
    <w:rsid w:val="009C08F8"/>
    <w:rsid w:val="009C15B8"/>
    <w:rsid w:val="009E539B"/>
    <w:rsid w:val="009E6599"/>
    <w:rsid w:val="009E79E1"/>
    <w:rsid w:val="00A1359C"/>
    <w:rsid w:val="00A22369"/>
    <w:rsid w:val="00A30A31"/>
    <w:rsid w:val="00A33837"/>
    <w:rsid w:val="00A36C9D"/>
    <w:rsid w:val="00A43D3F"/>
    <w:rsid w:val="00A44C32"/>
    <w:rsid w:val="00A461FE"/>
    <w:rsid w:val="00A72BBE"/>
    <w:rsid w:val="00A74B91"/>
    <w:rsid w:val="00A762E5"/>
    <w:rsid w:val="00A8223E"/>
    <w:rsid w:val="00A96809"/>
    <w:rsid w:val="00A978BF"/>
    <w:rsid w:val="00AA7B05"/>
    <w:rsid w:val="00AB08F2"/>
    <w:rsid w:val="00AC4AF0"/>
    <w:rsid w:val="00AC7366"/>
    <w:rsid w:val="00AD0588"/>
    <w:rsid w:val="00AD0A6B"/>
    <w:rsid w:val="00AE6150"/>
    <w:rsid w:val="00AF75B2"/>
    <w:rsid w:val="00AF7E54"/>
    <w:rsid w:val="00B022C7"/>
    <w:rsid w:val="00B04813"/>
    <w:rsid w:val="00B203C6"/>
    <w:rsid w:val="00B4150D"/>
    <w:rsid w:val="00B41C95"/>
    <w:rsid w:val="00B51496"/>
    <w:rsid w:val="00B80703"/>
    <w:rsid w:val="00B91AB9"/>
    <w:rsid w:val="00B91B7F"/>
    <w:rsid w:val="00B936BA"/>
    <w:rsid w:val="00BA0791"/>
    <w:rsid w:val="00BB050A"/>
    <w:rsid w:val="00BB2226"/>
    <w:rsid w:val="00BB50D1"/>
    <w:rsid w:val="00BC1A7F"/>
    <w:rsid w:val="00BC3C6D"/>
    <w:rsid w:val="00BC46C5"/>
    <w:rsid w:val="00BC6236"/>
    <w:rsid w:val="00BC6B04"/>
    <w:rsid w:val="00BD086A"/>
    <w:rsid w:val="00BD2091"/>
    <w:rsid w:val="00BD6EAD"/>
    <w:rsid w:val="00C10375"/>
    <w:rsid w:val="00C12BCD"/>
    <w:rsid w:val="00C17C31"/>
    <w:rsid w:val="00C37BCE"/>
    <w:rsid w:val="00C4143E"/>
    <w:rsid w:val="00C520CE"/>
    <w:rsid w:val="00C5427C"/>
    <w:rsid w:val="00C7284B"/>
    <w:rsid w:val="00C72860"/>
    <w:rsid w:val="00C80DFF"/>
    <w:rsid w:val="00C80E92"/>
    <w:rsid w:val="00C81B08"/>
    <w:rsid w:val="00C851E4"/>
    <w:rsid w:val="00CB4B74"/>
    <w:rsid w:val="00CC0E4F"/>
    <w:rsid w:val="00CC6C4A"/>
    <w:rsid w:val="00CE2CB0"/>
    <w:rsid w:val="00CE6AD6"/>
    <w:rsid w:val="00CF0C82"/>
    <w:rsid w:val="00CF790D"/>
    <w:rsid w:val="00CF7CEF"/>
    <w:rsid w:val="00D03746"/>
    <w:rsid w:val="00D042FB"/>
    <w:rsid w:val="00D06AAD"/>
    <w:rsid w:val="00D104CB"/>
    <w:rsid w:val="00D110F7"/>
    <w:rsid w:val="00D11E48"/>
    <w:rsid w:val="00D405C7"/>
    <w:rsid w:val="00D42667"/>
    <w:rsid w:val="00D4300B"/>
    <w:rsid w:val="00D46474"/>
    <w:rsid w:val="00D670B1"/>
    <w:rsid w:val="00D67FF4"/>
    <w:rsid w:val="00D71F88"/>
    <w:rsid w:val="00D925E6"/>
    <w:rsid w:val="00D93127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E13208"/>
    <w:rsid w:val="00E14D68"/>
    <w:rsid w:val="00E20339"/>
    <w:rsid w:val="00E24129"/>
    <w:rsid w:val="00E31742"/>
    <w:rsid w:val="00E34032"/>
    <w:rsid w:val="00E47950"/>
    <w:rsid w:val="00E510F5"/>
    <w:rsid w:val="00E537B1"/>
    <w:rsid w:val="00E5380B"/>
    <w:rsid w:val="00E71112"/>
    <w:rsid w:val="00E72B98"/>
    <w:rsid w:val="00E77DA6"/>
    <w:rsid w:val="00E86BEE"/>
    <w:rsid w:val="00E87902"/>
    <w:rsid w:val="00EB1537"/>
    <w:rsid w:val="00EB75C4"/>
    <w:rsid w:val="00EC16B5"/>
    <w:rsid w:val="00EC36C0"/>
    <w:rsid w:val="00EC4EDC"/>
    <w:rsid w:val="00EC6A26"/>
    <w:rsid w:val="00ED13FC"/>
    <w:rsid w:val="00EE2D0D"/>
    <w:rsid w:val="00EE7917"/>
    <w:rsid w:val="00EF5B87"/>
    <w:rsid w:val="00EF79CC"/>
    <w:rsid w:val="00F104F1"/>
    <w:rsid w:val="00F1081C"/>
    <w:rsid w:val="00F1084C"/>
    <w:rsid w:val="00F20A13"/>
    <w:rsid w:val="00F237B0"/>
    <w:rsid w:val="00F3345D"/>
    <w:rsid w:val="00F54D50"/>
    <w:rsid w:val="00F6647B"/>
    <w:rsid w:val="00F76EB8"/>
    <w:rsid w:val="00F85F35"/>
    <w:rsid w:val="00F92078"/>
    <w:rsid w:val="00F92A13"/>
    <w:rsid w:val="00FD1614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F9B2BB31-4923-40B2-83D3-F8D4D5CF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3B7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511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Bořek Křivánek</dc:creator>
  <cp:keywords/>
  <cp:lastModifiedBy>Jana Mullerová</cp:lastModifiedBy>
  <cp:revision>3</cp:revision>
  <dcterms:created xsi:type="dcterms:W3CDTF">2025-04-28T08:40:00Z</dcterms:created>
  <dcterms:modified xsi:type="dcterms:W3CDTF">2025-04-28T08:43:00Z</dcterms:modified>
</cp:coreProperties>
</file>